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C432" w14:textId="3E21A953" w:rsidR="00324E2A" w:rsidRPr="007C243E" w:rsidRDefault="00BB1170" w:rsidP="00F05F63">
      <w:pPr>
        <w:jc w:val="both"/>
        <w:rPr>
          <w:rFonts w:cs="Univers"/>
          <w:b/>
          <w:bCs/>
          <w:szCs w:val="20"/>
          <w:lang w:val="es-ES_tradnl"/>
        </w:rPr>
      </w:pPr>
      <w:r w:rsidRPr="007C243E">
        <w:rPr>
          <w:noProof/>
        </w:rPr>
        <mc:AlternateContent>
          <mc:Choice Requires="wps">
            <w:drawing>
              <wp:anchor distT="0" distB="0" distL="114300" distR="114300" simplePos="0" relativeHeight="251654144" behindDoc="0" locked="0" layoutInCell="1" allowOverlap="1" wp14:anchorId="4918595C" wp14:editId="374DC8EB">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2254F5"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sidRPr="007C243E">
        <w:rPr>
          <w:noProof/>
        </w:rPr>
        <mc:AlternateContent>
          <mc:Choice Requires="wps">
            <w:drawing>
              <wp:anchor distT="0" distB="0" distL="114300" distR="114300" simplePos="0" relativeHeight="251658240" behindDoc="0" locked="0" layoutInCell="1" allowOverlap="1" wp14:anchorId="2147F100" wp14:editId="13F00AD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00508" w14:textId="26B56FF1" w:rsidR="00324E2A" w:rsidRDefault="00E90359" w:rsidP="00324E2A">
                            <w:r>
                              <w:rPr>
                                <w:noProof/>
                              </w:rPr>
                              <w:drawing>
                                <wp:inline distT="0" distB="0" distL="0" distR="0" wp14:anchorId="3543FAE3" wp14:editId="601F2AAF">
                                  <wp:extent cx="2628900" cy="4953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495300"/>
                                          </a:xfrm>
                                          <a:prstGeom prst="rect">
                                            <a:avLst/>
                                          </a:prstGeom>
                                          <a:noFill/>
                                          <a:ln>
                                            <a:noFill/>
                                          </a:ln>
                                        </pic:spPr>
                                      </pic:pic>
                                    </a:graphicData>
                                  </a:graphic>
                                </wp:inline>
                              </w:drawing>
                            </w:r>
                            <w:r w:rsidR="00324E2A">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47F10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12200508" w14:textId="26B56FF1" w:rsidR="00324E2A" w:rsidRDefault="00E90359" w:rsidP="00324E2A">
                      <w:r>
                        <w:rPr>
                          <w:noProof/>
                        </w:rPr>
                        <w:drawing>
                          <wp:inline distT="0" distB="0" distL="0" distR="0" wp14:anchorId="3543FAE3" wp14:editId="601F2AAF">
                            <wp:extent cx="2628900" cy="4953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495300"/>
                                    </a:xfrm>
                                    <a:prstGeom prst="rect">
                                      <a:avLst/>
                                    </a:prstGeom>
                                    <a:noFill/>
                                    <a:ln>
                                      <a:noFill/>
                                    </a:ln>
                                  </pic:spPr>
                                </pic:pic>
                              </a:graphicData>
                            </a:graphic>
                          </wp:inline>
                        </w:drawing>
                      </w:r>
                      <w:r w:rsidR="00324E2A">
                        <w:tab/>
                        <w:t xml:space="preserve">                              </w:t>
                      </w:r>
                    </w:p>
                  </w:txbxContent>
                </v:textbox>
              </v:shape>
            </w:pict>
          </mc:Fallback>
        </mc:AlternateContent>
      </w:r>
    </w:p>
    <w:p w14:paraId="48CD937F" w14:textId="77777777" w:rsidR="00324E2A" w:rsidRPr="007C243E" w:rsidRDefault="00324E2A" w:rsidP="00F05F63">
      <w:pPr>
        <w:tabs>
          <w:tab w:val="center" w:pos="5400"/>
        </w:tabs>
        <w:suppressAutoHyphens/>
        <w:jc w:val="both"/>
        <w:rPr>
          <w:szCs w:val="20"/>
          <w:lang w:val="es-ES_tradnl"/>
        </w:rPr>
      </w:pPr>
    </w:p>
    <w:p w14:paraId="11A0471B" w14:textId="77777777" w:rsidR="00324E2A" w:rsidRPr="007C243E" w:rsidRDefault="00324E2A" w:rsidP="00F05F63">
      <w:pPr>
        <w:tabs>
          <w:tab w:val="center" w:pos="5400"/>
        </w:tabs>
        <w:suppressAutoHyphens/>
        <w:jc w:val="both"/>
        <w:rPr>
          <w:szCs w:val="20"/>
          <w:lang w:val="es-ES_tradnl"/>
        </w:rPr>
      </w:pPr>
    </w:p>
    <w:p w14:paraId="4CD493BA" w14:textId="77777777" w:rsidR="00324E2A" w:rsidRPr="007C243E" w:rsidRDefault="00324E2A" w:rsidP="00F05F63">
      <w:pPr>
        <w:tabs>
          <w:tab w:val="center" w:pos="5400"/>
        </w:tabs>
        <w:suppressAutoHyphens/>
        <w:rPr>
          <w:szCs w:val="20"/>
          <w:lang w:val="es-ES_tradnl"/>
        </w:rPr>
      </w:pPr>
    </w:p>
    <w:p w14:paraId="123413E6" w14:textId="77777777" w:rsidR="00324E2A" w:rsidRPr="007C243E" w:rsidRDefault="00324E2A" w:rsidP="00F05F63">
      <w:pPr>
        <w:tabs>
          <w:tab w:val="center" w:pos="5400"/>
        </w:tabs>
        <w:suppressAutoHyphens/>
        <w:rPr>
          <w:szCs w:val="20"/>
          <w:lang w:val="es-ES_tradnl"/>
        </w:rPr>
      </w:pPr>
    </w:p>
    <w:p w14:paraId="72EC2369" w14:textId="77777777" w:rsidR="00324E2A" w:rsidRPr="007C243E" w:rsidRDefault="00324E2A" w:rsidP="00F05F63">
      <w:pPr>
        <w:tabs>
          <w:tab w:val="center" w:pos="5400"/>
        </w:tabs>
        <w:suppressAutoHyphens/>
        <w:rPr>
          <w:szCs w:val="20"/>
          <w:lang w:val="es-ES_tradnl"/>
        </w:rPr>
      </w:pPr>
    </w:p>
    <w:p w14:paraId="68177093" w14:textId="77777777" w:rsidR="00324E2A" w:rsidRPr="007C243E" w:rsidRDefault="00324E2A" w:rsidP="00F05F63">
      <w:pPr>
        <w:tabs>
          <w:tab w:val="center" w:pos="5400"/>
        </w:tabs>
        <w:suppressAutoHyphens/>
        <w:jc w:val="center"/>
        <w:rPr>
          <w:szCs w:val="20"/>
          <w:lang w:val="es-ES_tradnl"/>
        </w:rPr>
      </w:pPr>
    </w:p>
    <w:p w14:paraId="664693F0" w14:textId="77777777" w:rsidR="00324E2A" w:rsidRPr="007C243E" w:rsidRDefault="00324E2A" w:rsidP="00F05F63">
      <w:pPr>
        <w:tabs>
          <w:tab w:val="center" w:pos="5400"/>
        </w:tabs>
        <w:suppressAutoHyphens/>
        <w:jc w:val="center"/>
        <w:rPr>
          <w:szCs w:val="20"/>
          <w:lang w:val="es-ES_tradnl"/>
        </w:rPr>
      </w:pPr>
    </w:p>
    <w:p w14:paraId="3CA6448A" w14:textId="77777777" w:rsidR="00324E2A" w:rsidRPr="007C243E" w:rsidRDefault="00324E2A" w:rsidP="00F05F63">
      <w:pPr>
        <w:tabs>
          <w:tab w:val="center" w:pos="5400"/>
        </w:tabs>
        <w:suppressAutoHyphens/>
        <w:jc w:val="center"/>
        <w:rPr>
          <w:szCs w:val="20"/>
          <w:lang w:val="es-ES_tradnl"/>
        </w:rPr>
      </w:pPr>
    </w:p>
    <w:p w14:paraId="51A0409E" w14:textId="77777777" w:rsidR="00324E2A" w:rsidRPr="007C243E" w:rsidRDefault="00324E2A" w:rsidP="00F05F63">
      <w:pPr>
        <w:tabs>
          <w:tab w:val="center" w:pos="5400"/>
        </w:tabs>
        <w:suppressAutoHyphens/>
        <w:jc w:val="center"/>
        <w:rPr>
          <w:szCs w:val="20"/>
          <w:lang w:val="es-ES_tradnl"/>
        </w:rPr>
      </w:pPr>
    </w:p>
    <w:p w14:paraId="0BDBC91D" w14:textId="77777777" w:rsidR="00324E2A" w:rsidRPr="007C243E" w:rsidRDefault="00324E2A" w:rsidP="00F05F63">
      <w:pPr>
        <w:tabs>
          <w:tab w:val="center" w:pos="5400"/>
        </w:tabs>
        <w:suppressAutoHyphens/>
        <w:jc w:val="center"/>
        <w:rPr>
          <w:szCs w:val="20"/>
          <w:lang w:val="es-ES_tradnl"/>
        </w:rPr>
      </w:pPr>
    </w:p>
    <w:p w14:paraId="09BF1D9A" w14:textId="77777777" w:rsidR="00324E2A" w:rsidRPr="007C243E" w:rsidRDefault="00324E2A" w:rsidP="00F05F63">
      <w:pPr>
        <w:tabs>
          <w:tab w:val="center" w:pos="5400"/>
        </w:tabs>
        <w:suppressAutoHyphens/>
        <w:jc w:val="center"/>
        <w:rPr>
          <w:szCs w:val="20"/>
          <w:lang w:val="es-ES_tradnl"/>
        </w:rPr>
      </w:pPr>
    </w:p>
    <w:p w14:paraId="03DF5C0A" w14:textId="77777777" w:rsidR="00324E2A" w:rsidRPr="007C243E" w:rsidRDefault="00324E2A" w:rsidP="00F05F63">
      <w:pPr>
        <w:tabs>
          <w:tab w:val="center" w:pos="5400"/>
        </w:tabs>
        <w:suppressAutoHyphens/>
        <w:jc w:val="center"/>
        <w:rPr>
          <w:szCs w:val="20"/>
          <w:lang w:val="es-ES_tradnl"/>
        </w:rPr>
      </w:pPr>
    </w:p>
    <w:p w14:paraId="2ADA9CDD" w14:textId="475FAEE4" w:rsidR="00324E2A" w:rsidRPr="007C243E" w:rsidRDefault="00BB1170" w:rsidP="00F05F63">
      <w:pPr>
        <w:tabs>
          <w:tab w:val="center" w:pos="5400"/>
        </w:tabs>
        <w:suppressAutoHyphens/>
        <w:jc w:val="center"/>
        <w:rPr>
          <w:szCs w:val="20"/>
          <w:lang w:val="es-ES_tradnl"/>
        </w:rPr>
      </w:pPr>
      <w:r w:rsidRPr="007C243E">
        <w:rPr>
          <w:noProof/>
        </w:rPr>
        <mc:AlternateContent>
          <mc:Choice Requires="wps">
            <w:drawing>
              <wp:anchor distT="0" distB="0" distL="114300" distR="114300" simplePos="0" relativeHeight="251655168" behindDoc="0" locked="0" layoutInCell="1" allowOverlap="1" wp14:anchorId="039C5A35" wp14:editId="4002D2D9">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D1318" w14:textId="3E74021E" w:rsidR="00324E2A" w:rsidRPr="0085585E" w:rsidRDefault="00324E2A" w:rsidP="00324E2A">
                            <w:pPr>
                              <w:spacing w:line="276" w:lineRule="auto"/>
                              <w:rPr>
                                <w:rFonts w:cs="Arial"/>
                                <w:b/>
                                <w:bCs/>
                                <w:color w:val="0D0D0D"/>
                                <w:sz w:val="36"/>
                                <w:szCs w:val="22"/>
                                <w:lang w:val="es-ES_tradnl"/>
                              </w:rPr>
                            </w:pPr>
                            <w:r w:rsidRPr="0085585E">
                              <w:rPr>
                                <w:rFonts w:cs="Arial"/>
                                <w:b/>
                                <w:bCs/>
                                <w:color w:val="0D0D0D"/>
                                <w:sz w:val="36"/>
                                <w:szCs w:val="22"/>
                                <w:lang w:val="es-ES_tradnl"/>
                              </w:rPr>
                              <w:t xml:space="preserve">INFORME </w:t>
                            </w:r>
                            <w:r w:rsidRPr="0005546B">
                              <w:rPr>
                                <w:rFonts w:cs="Arial"/>
                                <w:b/>
                                <w:bCs/>
                                <w:color w:val="0D0D0D"/>
                                <w:sz w:val="36"/>
                                <w:szCs w:val="40"/>
                                <w:lang w:val="es-ES"/>
                              </w:rPr>
                              <w:t>No.</w:t>
                            </w:r>
                            <w:r w:rsidR="00786CF0">
                              <w:rPr>
                                <w:rFonts w:cs="Arial"/>
                                <w:b/>
                                <w:bCs/>
                                <w:color w:val="0D0D0D"/>
                                <w:sz w:val="36"/>
                                <w:szCs w:val="22"/>
                                <w:lang w:val="es-ES_tradnl"/>
                              </w:rPr>
                              <w:t xml:space="preserve"> </w:t>
                            </w:r>
                            <w:r w:rsidR="00770BB6">
                              <w:rPr>
                                <w:rFonts w:cs="Arial"/>
                                <w:b/>
                                <w:bCs/>
                                <w:color w:val="0D0D0D"/>
                                <w:sz w:val="36"/>
                                <w:szCs w:val="22"/>
                                <w:lang w:val="es-ES_tradnl"/>
                              </w:rPr>
                              <w:t>167</w:t>
                            </w:r>
                            <w:r w:rsidRPr="0085585E">
                              <w:rPr>
                                <w:rFonts w:cs="Arial"/>
                                <w:b/>
                                <w:bCs/>
                                <w:color w:val="0D0D0D"/>
                                <w:sz w:val="36"/>
                                <w:szCs w:val="22"/>
                                <w:lang w:val="es-ES_tradnl"/>
                              </w:rPr>
                              <w:t>/</w:t>
                            </w:r>
                            <w:r w:rsidR="00241D4F">
                              <w:rPr>
                                <w:rFonts w:cs="Arial"/>
                                <w:b/>
                                <w:bCs/>
                                <w:color w:val="0D0D0D"/>
                                <w:sz w:val="36"/>
                                <w:szCs w:val="22"/>
                                <w:lang w:val="es-ES_tradnl"/>
                              </w:rPr>
                              <w:t>22</w:t>
                            </w:r>
                          </w:p>
                          <w:p w14:paraId="37024122" w14:textId="69449FBA" w:rsidR="00324E2A" w:rsidRPr="0085585E" w:rsidRDefault="00324E2A" w:rsidP="00324E2A">
                            <w:pPr>
                              <w:spacing w:line="276" w:lineRule="auto"/>
                              <w:rPr>
                                <w:rFonts w:cs="Arial"/>
                                <w:b/>
                                <w:color w:val="0D0D0D"/>
                                <w:sz w:val="36"/>
                                <w:szCs w:val="22"/>
                                <w:lang w:val="es-ES_tradnl"/>
                              </w:rPr>
                            </w:pPr>
                            <w:r>
                              <w:rPr>
                                <w:rFonts w:cs="Arial"/>
                                <w:b/>
                                <w:color w:val="0D0D0D"/>
                                <w:sz w:val="36"/>
                                <w:szCs w:val="22"/>
                                <w:lang w:val="es-ES_tradnl"/>
                              </w:rPr>
                              <w:t>PETI</w:t>
                            </w:r>
                            <w:r w:rsidR="00811B56">
                              <w:rPr>
                                <w:rFonts w:cs="Arial"/>
                                <w:b/>
                                <w:color w:val="0D0D0D"/>
                                <w:sz w:val="36"/>
                                <w:szCs w:val="22"/>
                                <w:lang w:val="es-ES_tradnl"/>
                              </w:rPr>
                              <w:t xml:space="preserve">CIÓN </w:t>
                            </w:r>
                            <w:r w:rsidR="005F6807">
                              <w:rPr>
                                <w:rFonts w:cs="Arial"/>
                                <w:b/>
                                <w:color w:val="0D0D0D"/>
                                <w:sz w:val="36"/>
                                <w:szCs w:val="22"/>
                                <w:lang w:val="es-ES_tradnl"/>
                              </w:rPr>
                              <w:t>1186-09</w:t>
                            </w:r>
                          </w:p>
                          <w:p w14:paraId="6C897EC7" w14:textId="77777777" w:rsidR="00324E2A" w:rsidRPr="00F770D6" w:rsidRDefault="00324E2A" w:rsidP="00324E2A">
                            <w:pPr>
                              <w:spacing w:line="276" w:lineRule="auto"/>
                              <w:rPr>
                                <w:rFonts w:cs="Arial"/>
                                <w:color w:val="0D0D0D"/>
                                <w:sz w:val="24"/>
                                <w:lang w:val="es-ES_tradnl"/>
                              </w:rPr>
                            </w:pPr>
                            <w:r w:rsidRPr="00A6276A">
                              <w:rPr>
                                <w:rFonts w:eastAsia="Arial Unicode MS" w:cs="Arial"/>
                                <w:color w:val="0D0D0D"/>
                                <w:sz w:val="24"/>
                                <w:szCs w:val="22"/>
                                <w:bdr w:val="nil"/>
                                <w:lang w:val="es-ES_tradnl"/>
                              </w:rPr>
                              <w:t>INFORME</w:t>
                            </w:r>
                            <w:r w:rsidRPr="00F770D6">
                              <w:rPr>
                                <w:rFonts w:cs="Arial"/>
                                <w:color w:val="0D0D0D"/>
                                <w:sz w:val="24"/>
                                <w:lang w:val="es-ES_tradnl"/>
                              </w:rPr>
                              <w:t xml:space="preserve"> DE </w:t>
                            </w:r>
                            <w:r w:rsidRPr="00A6276A">
                              <w:rPr>
                                <w:rFonts w:eastAsia="Arial Unicode MS" w:cs="Arial"/>
                                <w:color w:val="0D0D0D"/>
                                <w:sz w:val="24"/>
                                <w:szCs w:val="22"/>
                                <w:bdr w:val="nil"/>
                                <w:lang w:val="es-ES_tradnl"/>
                              </w:rPr>
                              <w:t>ARCHIVO</w:t>
                            </w:r>
                          </w:p>
                          <w:p w14:paraId="71D198CB" w14:textId="77777777" w:rsidR="00856B9F" w:rsidRPr="005F6807" w:rsidRDefault="00856B9F" w:rsidP="00324E2A">
                            <w:pPr>
                              <w:spacing w:line="276" w:lineRule="auto"/>
                              <w:rPr>
                                <w:rFonts w:cs="Arial"/>
                                <w:color w:val="0D0D0D"/>
                                <w:szCs w:val="22"/>
                                <w:lang w:val="es-ES_tradnl"/>
                              </w:rPr>
                            </w:pPr>
                          </w:p>
                          <w:p w14:paraId="10DF915F" w14:textId="1B474C9C" w:rsidR="00811B56" w:rsidRPr="005F6807" w:rsidRDefault="005F6807" w:rsidP="00324E2A">
                            <w:pPr>
                              <w:spacing w:line="276" w:lineRule="auto"/>
                              <w:rPr>
                                <w:rFonts w:cs="Arial"/>
                                <w:color w:val="0D0D0D"/>
                                <w:sz w:val="24"/>
                                <w:lang w:val="es-ES_tradnl"/>
                              </w:rPr>
                            </w:pPr>
                            <w:r>
                              <w:rPr>
                                <w:rFonts w:eastAsia="Arial Unicode MS" w:cs="Arial"/>
                                <w:color w:val="0D0D0D"/>
                                <w:sz w:val="24"/>
                                <w:szCs w:val="22"/>
                                <w:bdr w:val="nil"/>
                                <w:lang w:val="es-ES_tradnl"/>
                              </w:rPr>
                              <w:t>ADELA VILLAMIL</w:t>
                            </w:r>
                          </w:p>
                          <w:p w14:paraId="6E8FF8A7" w14:textId="68771025" w:rsidR="00324E2A" w:rsidRPr="005F6807" w:rsidRDefault="00241D4F" w:rsidP="00324E2A">
                            <w:pPr>
                              <w:rPr>
                                <w:color w:val="0D0D0D"/>
                                <w:lang w:val="es-ES_tradnl"/>
                              </w:rPr>
                            </w:pPr>
                            <w:r w:rsidRPr="005F6807">
                              <w:rPr>
                                <w:rFonts w:cs="Arial"/>
                                <w:color w:val="0D0D0D"/>
                                <w:sz w:val="24"/>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9C5A35"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19ED1318" w14:textId="3E74021E" w:rsidR="00324E2A" w:rsidRPr="0085585E" w:rsidRDefault="00324E2A" w:rsidP="00324E2A">
                      <w:pPr>
                        <w:spacing w:line="276" w:lineRule="auto"/>
                        <w:rPr>
                          <w:rFonts w:cs="Arial"/>
                          <w:b/>
                          <w:bCs/>
                          <w:color w:val="0D0D0D"/>
                          <w:sz w:val="36"/>
                          <w:szCs w:val="22"/>
                          <w:lang w:val="es-ES_tradnl"/>
                        </w:rPr>
                      </w:pPr>
                      <w:r w:rsidRPr="0085585E">
                        <w:rPr>
                          <w:rFonts w:cs="Arial"/>
                          <w:b/>
                          <w:bCs/>
                          <w:color w:val="0D0D0D"/>
                          <w:sz w:val="36"/>
                          <w:szCs w:val="22"/>
                          <w:lang w:val="es-ES_tradnl"/>
                        </w:rPr>
                        <w:t xml:space="preserve">INFORME </w:t>
                      </w:r>
                      <w:r w:rsidRPr="0005546B">
                        <w:rPr>
                          <w:rFonts w:cs="Arial"/>
                          <w:b/>
                          <w:bCs/>
                          <w:color w:val="0D0D0D"/>
                          <w:sz w:val="36"/>
                          <w:szCs w:val="40"/>
                          <w:lang w:val="es-ES"/>
                        </w:rPr>
                        <w:t>No.</w:t>
                      </w:r>
                      <w:r w:rsidR="00786CF0">
                        <w:rPr>
                          <w:rFonts w:cs="Arial"/>
                          <w:b/>
                          <w:bCs/>
                          <w:color w:val="0D0D0D"/>
                          <w:sz w:val="36"/>
                          <w:szCs w:val="22"/>
                          <w:lang w:val="es-ES_tradnl"/>
                        </w:rPr>
                        <w:t xml:space="preserve"> </w:t>
                      </w:r>
                      <w:r w:rsidR="00770BB6">
                        <w:rPr>
                          <w:rFonts w:cs="Arial"/>
                          <w:b/>
                          <w:bCs/>
                          <w:color w:val="0D0D0D"/>
                          <w:sz w:val="36"/>
                          <w:szCs w:val="22"/>
                          <w:lang w:val="es-ES_tradnl"/>
                        </w:rPr>
                        <w:t>167</w:t>
                      </w:r>
                      <w:r w:rsidRPr="0085585E">
                        <w:rPr>
                          <w:rFonts w:cs="Arial"/>
                          <w:b/>
                          <w:bCs/>
                          <w:color w:val="0D0D0D"/>
                          <w:sz w:val="36"/>
                          <w:szCs w:val="22"/>
                          <w:lang w:val="es-ES_tradnl"/>
                        </w:rPr>
                        <w:t>/</w:t>
                      </w:r>
                      <w:r w:rsidR="00241D4F">
                        <w:rPr>
                          <w:rFonts w:cs="Arial"/>
                          <w:b/>
                          <w:bCs/>
                          <w:color w:val="0D0D0D"/>
                          <w:sz w:val="36"/>
                          <w:szCs w:val="22"/>
                          <w:lang w:val="es-ES_tradnl"/>
                        </w:rPr>
                        <w:t>22</w:t>
                      </w:r>
                    </w:p>
                    <w:p w14:paraId="37024122" w14:textId="69449FBA" w:rsidR="00324E2A" w:rsidRPr="0085585E" w:rsidRDefault="00324E2A" w:rsidP="00324E2A">
                      <w:pPr>
                        <w:spacing w:line="276" w:lineRule="auto"/>
                        <w:rPr>
                          <w:rFonts w:cs="Arial"/>
                          <w:b/>
                          <w:color w:val="0D0D0D"/>
                          <w:sz w:val="36"/>
                          <w:szCs w:val="22"/>
                          <w:lang w:val="es-ES_tradnl"/>
                        </w:rPr>
                      </w:pPr>
                      <w:r>
                        <w:rPr>
                          <w:rFonts w:cs="Arial"/>
                          <w:b/>
                          <w:color w:val="0D0D0D"/>
                          <w:sz w:val="36"/>
                          <w:szCs w:val="22"/>
                          <w:lang w:val="es-ES_tradnl"/>
                        </w:rPr>
                        <w:t>PETI</w:t>
                      </w:r>
                      <w:r w:rsidR="00811B56">
                        <w:rPr>
                          <w:rFonts w:cs="Arial"/>
                          <w:b/>
                          <w:color w:val="0D0D0D"/>
                          <w:sz w:val="36"/>
                          <w:szCs w:val="22"/>
                          <w:lang w:val="es-ES_tradnl"/>
                        </w:rPr>
                        <w:t xml:space="preserve">CIÓN </w:t>
                      </w:r>
                      <w:r w:rsidR="005F6807">
                        <w:rPr>
                          <w:rFonts w:cs="Arial"/>
                          <w:b/>
                          <w:color w:val="0D0D0D"/>
                          <w:sz w:val="36"/>
                          <w:szCs w:val="22"/>
                          <w:lang w:val="es-ES_tradnl"/>
                        </w:rPr>
                        <w:t>1186-09</w:t>
                      </w:r>
                    </w:p>
                    <w:p w14:paraId="6C897EC7" w14:textId="77777777" w:rsidR="00324E2A" w:rsidRPr="00F770D6" w:rsidRDefault="00324E2A" w:rsidP="00324E2A">
                      <w:pPr>
                        <w:spacing w:line="276" w:lineRule="auto"/>
                        <w:rPr>
                          <w:rFonts w:cs="Arial"/>
                          <w:color w:val="0D0D0D"/>
                          <w:sz w:val="24"/>
                          <w:lang w:val="es-ES_tradnl"/>
                        </w:rPr>
                      </w:pPr>
                      <w:r w:rsidRPr="00A6276A">
                        <w:rPr>
                          <w:rFonts w:eastAsia="Arial Unicode MS" w:cs="Arial"/>
                          <w:color w:val="0D0D0D"/>
                          <w:sz w:val="24"/>
                          <w:szCs w:val="22"/>
                          <w:bdr w:val="nil"/>
                          <w:lang w:val="es-ES_tradnl"/>
                        </w:rPr>
                        <w:t>INFORME</w:t>
                      </w:r>
                      <w:r w:rsidRPr="00F770D6">
                        <w:rPr>
                          <w:rFonts w:cs="Arial"/>
                          <w:color w:val="0D0D0D"/>
                          <w:sz w:val="24"/>
                          <w:lang w:val="es-ES_tradnl"/>
                        </w:rPr>
                        <w:t xml:space="preserve"> DE </w:t>
                      </w:r>
                      <w:r w:rsidRPr="00A6276A">
                        <w:rPr>
                          <w:rFonts w:eastAsia="Arial Unicode MS" w:cs="Arial"/>
                          <w:color w:val="0D0D0D"/>
                          <w:sz w:val="24"/>
                          <w:szCs w:val="22"/>
                          <w:bdr w:val="nil"/>
                          <w:lang w:val="es-ES_tradnl"/>
                        </w:rPr>
                        <w:t>ARCHIVO</w:t>
                      </w:r>
                    </w:p>
                    <w:p w14:paraId="71D198CB" w14:textId="77777777" w:rsidR="00856B9F" w:rsidRPr="005F6807" w:rsidRDefault="00856B9F" w:rsidP="00324E2A">
                      <w:pPr>
                        <w:spacing w:line="276" w:lineRule="auto"/>
                        <w:rPr>
                          <w:rFonts w:cs="Arial"/>
                          <w:color w:val="0D0D0D"/>
                          <w:szCs w:val="22"/>
                          <w:lang w:val="es-ES_tradnl"/>
                        </w:rPr>
                      </w:pPr>
                    </w:p>
                    <w:p w14:paraId="10DF915F" w14:textId="1B474C9C" w:rsidR="00811B56" w:rsidRPr="005F6807" w:rsidRDefault="005F6807" w:rsidP="00324E2A">
                      <w:pPr>
                        <w:spacing w:line="276" w:lineRule="auto"/>
                        <w:rPr>
                          <w:rFonts w:cs="Arial"/>
                          <w:color w:val="0D0D0D"/>
                          <w:sz w:val="24"/>
                          <w:lang w:val="es-ES_tradnl"/>
                        </w:rPr>
                      </w:pPr>
                      <w:r>
                        <w:rPr>
                          <w:rFonts w:eastAsia="Arial Unicode MS" w:cs="Arial"/>
                          <w:color w:val="0D0D0D"/>
                          <w:sz w:val="24"/>
                          <w:szCs w:val="22"/>
                          <w:bdr w:val="nil"/>
                          <w:lang w:val="es-ES_tradnl"/>
                        </w:rPr>
                        <w:t>ADELA VILLAMIL</w:t>
                      </w:r>
                    </w:p>
                    <w:p w14:paraId="6E8FF8A7" w14:textId="68771025" w:rsidR="00324E2A" w:rsidRPr="005F6807" w:rsidRDefault="00241D4F" w:rsidP="00324E2A">
                      <w:pPr>
                        <w:rPr>
                          <w:color w:val="0D0D0D"/>
                          <w:lang w:val="es-ES_tradnl"/>
                        </w:rPr>
                      </w:pPr>
                      <w:r w:rsidRPr="005F6807">
                        <w:rPr>
                          <w:rFonts w:cs="Arial"/>
                          <w:color w:val="0D0D0D"/>
                          <w:sz w:val="24"/>
                          <w:lang w:val="es-ES_tradnl"/>
                        </w:rPr>
                        <w:t>BOLIVIA</w:t>
                      </w:r>
                    </w:p>
                  </w:txbxContent>
                </v:textbox>
              </v:shape>
            </w:pict>
          </mc:Fallback>
        </mc:AlternateContent>
      </w:r>
      <w:r w:rsidRPr="007C243E">
        <w:rPr>
          <w:noProof/>
        </w:rPr>
        <mc:AlternateContent>
          <mc:Choice Requires="wps">
            <w:drawing>
              <wp:anchor distT="0" distB="0" distL="114300" distR="114300" simplePos="0" relativeHeight="251657216" behindDoc="0" locked="0" layoutInCell="1" allowOverlap="1" wp14:anchorId="4DFC49C5" wp14:editId="07002D0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15998" w14:textId="75C3EA87" w:rsidR="00324E2A" w:rsidRPr="00241D4F" w:rsidRDefault="00324E2A" w:rsidP="00324E2A">
                            <w:pPr>
                              <w:spacing w:line="276" w:lineRule="auto"/>
                              <w:jc w:val="right"/>
                              <w:rPr>
                                <w:rFonts w:ascii="Calibri" w:hAnsi="Calibri"/>
                                <w:color w:val="FFFFFF"/>
                                <w:sz w:val="22"/>
                                <w:lang w:val="pt-BR"/>
                              </w:rPr>
                            </w:pPr>
                            <w:r w:rsidRPr="00241D4F">
                              <w:rPr>
                                <w:rFonts w:ascii="Calibri" w:hAnsi="Calibri"/>
                                <w:color w:val="FFFFFF"/>
                                <w:sz w:val="22"/>
                                <w:lang w:val="pt-BR"/>
                              </w:rPr>
                              <w:t>O</w:t>
                            </w:r>
                            <w:r w:rsidR="00072CD3" w:rsidRPr="00241D4F">
                              <w:rPr>
                                <w:rFonts w:ascii="Calibri" w:hAnsi="Calibri"/>
                                <w:color w:val="FFFFFF"/>
                                <w:sz w:val="22"/>
                                <w:lang w:val="pt-BR"/>
                              </w:rPr>
                              <w:t>EA/Ser.</w:t>
                            </w:r>
                            <w:r w:rsidR="00786CF0" w:rsidRPr="00241D4F">
                              <w:rPr>
                                <w:rFonts w:ascii="Calibri" w:hAnsi="Calibri"/>
                                <w:color w:val="FFFFFF"/>
                                <w:sz w:val="22"/>
                                <w:lang w:val="pt-BR"/>
                              </w:rPr>
                              <w:t xml:space="preserve"> </w:t>
                            </w:r>
                            <w:r w:rsidR="00072CD3" w:rsidRPr="00241D4F">
                              <w:rPr>
                                <w:rFonts w:ascii="Calibri" w:hAnsi="Calibri"/>
                                <w:color w:val="FFFFFF"/>
                                <w:sz w:val="22"/>
                                <w:lang w:val="pt-BR"/>
                              </w:rPr>
                              <w:t>L/V/II.</w:t>
                            </w:r>
                          </w:p>
                          <w:p w14:paraId="1B16EB32" w14:textId="2C8E7EDC" w:rsidR="00324E2A" w:rsidRPr="00770BB6" w:rsidRDefault="00786CF0" w:rsidP="00324E2A">
                            <w:pPr>
                              <w:spacing w:line="276" w:lineRule="auto"/>
                              <w:jc w:val="right"/>
                              <w:rPr>
                                <w:rFonts w:ascii="Calibri" w:hAnsi="Calibri"/>
                                <w:color w:val="FFFFFF"/>
                                <w:sz w:val="22"/>
                                <w:lang w:val="pt-BR"/>
                              </w:rPr>
                            </w:pPr>
                            <w:r w:rsidRPr="009049E0">
                              <w:rPr>
                                <w:rFonts w:ascii="Calibri" w:hAnsi="Calibri"/>
                                <w:color w:val="FFFFFF"/>
                                <w:sz w:val="22"/>
                                <w:lang w:val="pt-BR"/>
                              </w:rPr>
                              <w:t xml:space="preserve">Doc. </w:t>
                            </w:r>
                            <w:r w:rsidR="00770BB6">
                              <w:rPr>
                                <w:rFonts w:ascii="Calibri" w:hAnsi="Calibri"/>
                                <w:color w:val="FFFFFF"/>
                                <w:sz w:val="22"/>
                                <w:lang w:val="pt-BR"/>
                              </w:rPr>
                              <w:t>170</w:t>
                            </w:r>
                          </w:p>
                          <w:p w14:paraId="5949A1DF" w14:textId="45F86B00" w:rsidR="00324E2A" w:rsidRPr="00DB1D9B" w:rsidRDefault="00770BB6" w:rsidP="00324E2A">
                            <w:pPr>
                              <w:spacing w:line="276" w:lineRule="auto"/>
                              <w:jc w:val="right"/>
                              <w:rPr>
                                <w:rFonts w:ascii="Calibri" w:hAnsi="Calibri"/>
                                <w:color w:val="FFFFFF"/>
                                <w:sz w:val="22"/>
                                <w:lang w:val="es-ES"/>
                              </w:rPr>
                            </w:pPr>
                            <w:r>
                              <w:rPr>
                                <w:rFonts w:ascii="Calibri" w:hAnsi="Calibri"/>
                                <w:color w:val="FFFFFF"/>
                                <w:sz w:val="22"/>
                                <w:lang w:val="es-ES"/>
                              </w:rPr>
                              <w:t>25</w:t>
                            </w:r>
                            <w:r w:rsidR="00786CF0" w:rsidRPr="00770BB6">
                              <w:rPr>
                                <w:rFonts w:ascii="Calibri" w:hAnsi="Calibri"/>
                                <w:color w:val="FFFFFF"/>
                                <w:sz w:val="22"/>
                                <w:lang w:val="es-ES"/>
                              </w:rPr>
                              <w:t xml:space="preserve"> </w:t>
                            </w:r>
                            <w:r w:rsidR="008E3E7A" w:rsidRPr="00770BB6">
                              <w:rPr>
                                <w:rFonts w:ascii="Calibri" w:hAnsi="Calibri"/>
                                <w:color w:val="FFFFFF"/>
                                <w:sz w:val="22"/>
                                <w:lang w:val="es-ES"/>
                              </w:rPr>
                              <w:t>julio</w:t>
                            </w:r>
                            <w:r w:rsidR="00324E2A" w:rsidRPr="00770BB6">
                              <w:rPr>
                                <w:rFonts w:ascii="Calibri" w:hAnsi="Calibri"/>
                                <w:color w:val="FFFFFF"/>
                                <w:sz w:val="22"/>
                                <w:lang w:val="es-ES"/>
                              </w:rPr>
                              <w:t xml:space="preserve"> </w:t>
                            </w:r>
                            <w:r w:rsidR="00377BC8" w:rsidRPr="00770BB6">
                              <w:rPr>
                                <w:rFonts w:ascii="Calibri" w:hAnsi="Calibri"/>
                                <w:color w:val="FFFFFF"/>
                                <w:sz w:val="22"/>
                                <w:lang w:val="es-ES"/>
                              </w:rPr>
                              <w:t>2</w:t>
                            </w:r>
                            <w:r w:rsidR="00324E2A" w:rsidRPr="00770BB6">
                              <w:rPr>
                                <w:rFonts w:ascii="Calibri" w:hAnsi="Calibri"/>
                                <w:color w:val="FFFFFF"/>
                                <w:sz w:val="22"/>
                                <w:lang w:val="es-ES"/>
                              </w:rPr>
                              <w:t>0</w:t>
                            </w:r>
                            <w:r w:rsidR="005F6807" w:rsidRPr="00770BB6">
                              <w:rPr>
                                <w:rFonts w:ascii="Calibri" w:hAnsi="Calibri"/>
                                <w:color w:val="FFFFFF"/>
                                <w:sz w:val="22"/>
                                <w:lang w:val="es-ES"/>
                              </w:rPr>
                              <w:t>22</w:t>
                            </w:r>
                          </w:p>
                          <w:p w14:paraId="78D3D780" w14:textId="77777777" w:rsidR="00324E2A" w:rsidRPr="00DB1D9B" w:rsidRDefault="00324E2A" w:rsidP="00324E2A">
                            <w:pPr>
                              <w:spacing w:line="276" w:lineRule="auto"/>
                              <w:jc w:val="right"/>
                              <w:rPr>
                                <w:rFonts w:ascii="Calibri" w:hAnsi="Calibri"/>
                                <w:color w:val="FFFFFF"/>
                                <w:sz w:val="22"/>
                                <w:lang w:val="es-ES"/>
                              </w:rPr>
                            </w:pPr>
                            <w:r w:rsidRPr="00DB1D9B">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FC49C5"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39415998" w14:textId="75C3EA87" w:rsidR="00324E2A" w:rsidRPr="00241D4F" w:rsidRDefault="00324E2A" w:rsidP="00324E2A">
                      <w:pPr>
                        <w:spacing w:line="276" w:lineRule="auto"/>
                        <w:jc w:val="right"/>
                        <w:rPr>
                          <w:rFonts w:ascii="Calibri" w:hAnsi="Calibri"/>
                          <w:color w:val="FFFFFF"/>
                          <w:sz w:val="22"/>
                          <w:lang w:val="pt-BR"/>
                        </w:rPr>
                      </w:pPr>
                      <w:r w:rsidRPr="00241D4F">
                        <w:rPr>
                          <w:rFonts w:ascii="Calibri" w:hAnsi="Calibri"/>
                          <w:color w:val="FFFFFF"/>
                          <w:sz w:val="22"/>
                          <w:lang w:val="pt-BR"/>
                        </w:rPr>
                        <w:t>O</w:t>
                      </w:r>
                      <w:r w:rsidR="00072CD3" w:rsidRPr="00241D4F">
                        <w:rPr>
                          <w:rFonts w:ascii="Calibri" w:hAnsi="Calibri"/>
                          <w:color w:val="FFFFFF"/>
                          <w:sz w:val="22"/>
                          <w:lang w:val="pt-BR"/>
                        </w:rPr>
                        <w:t>EA/Ser.</w:t>
                      </w:r>
                      <w:r w:rsidR="00786CF0" w:rsidRPr="00241D4F">
                        <w:rPr>
                          <w:rFonts w:ascii="Calibri" w:hAnsi="Calibri"/>
                          <w:color w:val="FFFFFF"/>
                          <w:sz w:val="22"/>
                          <w:lang w:val="pt-BR"/>
                        </w:rPr>
                        <w:t xml:space="preserve"> </w:t>
                      </w:r>
                      <w:r w:rsidR="00072CD3" w:rsidRPr="00241D4F">
                        <w:rPr>
                          <w:rFonts w:ascii="Calibri" w:hAnsi="Calibri"/>
                          <w:color w:val="FFFFFF"/>
                          <w:sz w:val="22"/>
                          <w:lang w:val="pt-BR"/>
                        </w:rPr>
                        <w:t>L/V/II.</w:t>
                      </w:r>
                    </w:p>
                    <w:p w14:paraId="1B16EB32" w14:textId="2C8E7EDC" w:rsidR="00324E2A" w:rsidRPr="00770BB6" w:rsidRDefault="00786CF0" w:rsidP="00324E2A">
                      <w:pPr>
                        <w:spacing w:line="276" w:lineRule="auto"/>
                        <w:jc w:val="right"/>
                        <w:rPr>
                          <w:rFonts w:ascii="Calibri" w:hAnsi="Calibri"/>
                          <w:color w:val="FFFFFF"/>
                          <w:sz w:val="22"/>
                          <w:lang w:val="pt-BR"/>
                        </w:rPr>
                      </w:pPr>
                      <w:r w:rsidRPr="009049E0">
                        <w:rPr>
                          <w:rFonts w:ascii="Calibri" w:hAnsi="Calibri"/>
                          <w:color w:val="FFFFFF"/>
                          <w:sz w:val="22"/>
                          <w:lang w:val="pt-BR"/>
                        </w:rPr>
                        <w:t xml:space="preserve">Doc. </w:t>
                      </w:r>
                      <w:r w:rsidR="00770BB6">
                        <w:rPr>
                          <w:rFonts w:ascii="Calibri" w:hAnsi="Calibri"/>
                          <w:color w:val="FFFFFF"/>
                          <w:sz w:val="22"/>
                          <w:lang w:val="pt-BR"/>
                        </w:rPr>
                        <w:t>170</w:t>
                      </w:r>
                    </w:p>
                    <w:p w14:paraId="5949A1DF" w14:textId="45F86B00" w:rsidR="00324E2A" w:rsidRPr="00DB1D9B" w:rsidRDefault="00770BB6" w:rsidP="00324E2A">
                      <w:pPr>
                        <w:spacing w:line="276" w:lineRule="auto"/>
                        <w:jc w:val="right"/>
                        <w:rPr>
                          <w:rFonts w:ascii="Calibri" w:hAnsi="Calibri"/>
                          <w:color w:val="FFFFFF"/>
                          <w:sz w:val="22"/>
                          <w:lang w:val="es-ES"/>
                        </w:rPr>
                      </w:pPr>
                      <w:r>
                        <w:rPr>
                          <w:rFonts w:ascii="Calibri" w:hAnsi="Calibri"/>
                          <w:color w:val="FFFFFF"/>
                          <w:sz w:val="22"/>
                          <w:lang w:val="es-ES"/>
                        </w:rPr>
                        <w:t>25</w:t>
                      </w:r>
                      <w:r w:rsidR="00786CF0" w:rsidRPr="00770BB6">
                        <w:rPr>
                          <w:rFonts w:ascii="Calibri" w:hAnsi="Calibri"/>
                          <w:color w:val="FFFFFF"/>
                          <w:sz w:val="22"/>
                          <w:lang w:val="es-ES"/>
                        </w:rPr>
                        <w:t xml:space="preserve"> </w:t>
                      </w:r>
                      <w:r w:rsidR="008E3E7A" w:rsidRPr="00770BB6">
                        <w:rPr>
                          <w:rFonts w:ascii="Calibri" w:hAnsi="Calibri"/>
                          <w:color w:val="FFFFFF"/>
                          <w:sz w:val="22"/>
                          <w:lang w:val="es-ES"/>
                        </w:rPr>
                        <w:t>julio</w:t>
                      </w:r>
                      <w:r w:rsidR="00324E2A" w:rsidRPr="00770BB6">
                        <w:rPr>
                          <w:rFonts w:ascii="Calibri" w:hAnsi="Calibri"/>
                          <w:color w:val="FFFFFF"/>
                          <w:sz w:val="22"/>
                          <w:lang w:val="es-ES"/>
                        </w:rPr>
                        <w:t xml:space="preserve"> </w:t>
                      </w:r>
                      <w:r w:rsidR="00377BC8" w:rsidRPr="00770BB6">
                        <w:rPr>
                          <w:rFonts w:ascii="Calibri" w:hAnsi="Calibri"/>
                          <w:color w:val="FFFFFF"/>
                          <w:sz w:val="22"/>
                          <w:lang w:val="es-ES"/>
                        </w:rPr>
                        <w:t>2</w:t>
                      </w:r>
                      <w:r w:rsidR="00324E2A" w:rsidRPr="00770BB6">
                        <w:rPr>
                          <w:rFonts w:ascii="Calibri" w:hAnsi="Calibri"/>
                          <w:color w:val="FFFFFF"/>
                          <w:sz w:val="22"/>
                          <w:lang w:val="es-ES"/>
                        </w:rPr>
                        <w:t>0</w:t>
                      </w:r>
                      <w:r w:rsidR="005F6807" w:rsidRPr="00770BB6">
                        <w:rPr>
                          <w:rFonts w:ascii="Calibri" w:hAnsi="Calibri"/>
                          <w:color w:val="FFFFFF"/>
                          <w:sz w:val="22"/>
                          <w:lang w:val="es-ES"/>
                        </w:rPr>
                        <w:t>22</w:t>
                      </w:r>
                    </w:p>
                    <w:p w14:paraId="78D3D780" w14:textId="77777777" w:rsidR="00324E2A" w:rsidRPr="00DB1D9B" w:rsidRDefault="00324E2A" w:rsidP="00324E2A">
                      <w:pPr>
                        <w:spacing w:line="276" w:lineRule="auto"/>
                        <w:jc w:val="right"/>
                        <w:rPr>
                          <w:rFonts w:ascii="Calibri" w:hAnsi="Calibri"/>
                          <w:color w:val="FFFFFF"/>
                          <w:sz w:val="22"/>
                          <w:lang w:val="es-ES"/>
                        </w:rPr>
                      </w:pPr>
                      <w:r w:rsidRPr="00DB1D9B">
                        <w:rPr>
                          <w:rFonts w:ascii="Calibri" w:hAnsi="Calibri"/>
                          <w:color w:val="FFFFFF"/>
                          <w:sz w:val="22"/>
                          <w:lang w:val="es-ES"/>
                        </w:rPr>
                        <w:t>Original: español</w:t>
                      </w:r>
                    </w:p>
                  </w:txbxContent>
                </v:textbox>
              </v:shape>
            </w:pict>
          </mc:Fallback>
        </mc:AlternateContent>
      </w:r>
    </w:p>
    <w:p w14:paraId="1FC08ABA" w14:textId="77777777" w:rsidR="00324E2A" w:rsidRPr="007C243E" w:rsidRDefault="00324E2A" w:rsidP="00F05F63">
      <w:pPr>
        <w:tabs>
          <w:tab w:val="center" w:pos="5400"/>
        </w:tabs>
        <w:suppressAutoHyphens/>
        <w:jc w:val="center"/>
        <w:rPr>
          <w:szCs w:val="20"/>
          <w:lang w:val="es-ES_tradnl"/>
        </w:rPr>
      </w:pPr>
    </w:p>
    <w:p w14:paraId="3896BD24" w14:textId="77777777" w:rsidR="00324E2A" w:rsidRPr="007C243E" w:rsidRDefault="00324E2A" w:rsidP="00F05F63">
      <w:pPr>
        <w:tabs>
          <w:tab w:val="center" w:pos="5400"/>
        </w:tabs>
        <w:suppressAutoHyphens/>
        <w:jc w:val="center"/>
        <w:rPr>
          <w:szCs w:val="20"/>
          <w:lang w:val="es-ES_tradnl"/>
        </w:rPr>
      </w:pPr>
    </w:p>
    <w:p w14:paraId="09E2D111" w14:textId="77777777" w:rsidR="00324E2A" w:rsidRPr="007C243E" w:rsidRDefault="00324E2A" w:rsidP="00F05F63">
      <w:pPr>
        <w:tabs>
          <w:tab w:val="center" w:pos="5400"/>
        </w:tabs>
        <w:suppressAutoHyphens/>
        <w:jc w:val="center"/>
        <w:rPr>
          <w:rFonts w:cs="Arial"/>
          <w:szCs w:val="20"/>
          <w:lang w:val="es-ES_tradnl"/>
        </w:rPr>
      </w:pPr>
    </w:p>
    <w:p w14:paraId="5D7B3B7C" w14:textId="77777777" w:rsidR="00324E2A" w:rsidRPr="007C243E" w:rsidRDefault="00324E2A" w:rsidP="00F05F63">
      <w:pPr>
        <w:tabs>
          <w:tab w:val="center" w:pos="5400"/>
        </w:tabs>
        <w:suppressAutoHyphens/>
        <w:jc w:val="center"/>
        <w:rPr>
          <w:szCs w:val="20"/>
          <w:lang w:val="es-ES_tradnl"/>
        </w:rPr>
      </w:pPr>
    </w:p>
    <w:p w14:paraId="5BA5FABB" w14:textId="77777777" w:rsidR="00324E2A" w:rsidRPr="007C243E" w:rsidRDefault="00324E2A" w:rsidP="00F05F63">
      <w:pPr>
        <w:tabs>
          <w:tab w:val="center" w:pos="5400"/>
        </w:tabs>
        <w:suppressAutoHyphens/>
        <w:jc w:val="center"/>
        <w:rPr>
          <w:szCs w:val="20"/>
          <w:lang w:val="es-ES_tradnl"/>
        </w:rPr>
      </w:pPr>
    </w:p>
    <w:p w14:paraId="0990CD5A" w14:textId="77777777" w:rsidR="00324E2A" w:rsidRPr="007C243E" w:rsidRDefault="00324E2A" w:rsidP="00F05F63">
      <w:pPr>
        <w:tabs>
          <w:tab w:val="center" w:pos="5400"/>
        </w:tabs>
        <w:suppressAutoHyphens/>
        <w:jc w:val="center"/>
        <w:rPr>
          <w:szCs w:val="20"/>
          <w:lang w:val="es-ES_tradnl"/>
        </w:rPr>
      </w:pPr>
    </w:p>
    <w:p w14:paraId="13229B03" w14:textId="77777777" w:rsidR="00324E2A" w:rsidRPr="007C243E" w:rsidRDefault="00324E2A" w:rsidP="00F05F63">
      <w:pPr>
        <w:tabs>
          <w:tab w:val="center" w:pos="5400"/>
        </w:tabs>
        <w:suppressAutoHyphens/>
        <w:jc w:val="center"/>
        <w:rPr>
          <w:szCs w:val="20"/>
          <w:lang w:val="es-ES_tradnl"/>
        </w:rPr>
      </w:pPr>
    </w:p>
    <w:p w14:paraId="31A1871A" w14:textId="77777777" w:rsidR="00324E2A" w:rsidRPr="007C243E" w:rsidRDefault="00324E2A" w:rsidP="00F05F63">
      <w:pPr>
        <w:tabs>
          <w:tab w:val="center" w:pos="5400"/>
        </w:tabs>
        <w:suppressAutoHyphens/>
        <w:jc w:val="center"/>
        <w:rPr>
          <w:szCs w:val="20"/>
          <w:lang w:val="es-ES_tradnl"/>
        </w:rPr>
      </w:pPr>
    </w:p>
    <w:p w14:paraId="1CC8AF16" w14:textId="77777777" w:rsidR="00324E2A" w:rsidRPr="007C243E" w:rsidRDefault="00324E2A" w:rsidP="00F05F63">
      <w:pPr>
        <w:tabs>
          <w:tab w:val="center" w:pos="5400"/>
        </w:tabs>
        <w:suppressAutoHyphens/>
        <w:jc w:val="center"/>
        <w:rPr>
          <w:szCs w:val="20"/>
          <w:lang w:val="es-ES_tradnl"/>
        </w:rPr>
      </w:pPr>
    </w:p>
    <w:p w14:paraId="59F1B323" w14:textId="77777777" w:rsidR="00324E2A" w:rsidRPr="007C243E" w:rsidRDefault="00324E2A" w:rsidP="00F05F63">
      <w:pPr>
        <w:tabs>
          <w:tab w:val="center" w:pos="5400"/>
        </w:tabs>
        <w:suppressAutoHyphens/>
        <w:jc w:val="center"/>
        <w:rPr>
          <w:szCs w:val="20"/>
          <w:lang w:val="es-ES_tradnl"/>
        </w:rPr>
      </w:pPr>
    </w:p>
    <w:p w14:paraId="28721EE2" w14:textId="77777777" w:rsidR="00324E2A" w:rsidRPr="007C243E" w:rsidRDefault="00324E2A" w:rsidP="00F05F63">
      <w:pPr>
        <w:tabs>
          <w:tab w:val="center" w:pos="5400"/>
        </w:tabs>
        <w:suppressAutoHyphens/>
        <w:jc w:val="center"/>
        <w:rPr>
          <w:szCs w:val="20"/>
          <w:lang w:val="es-ES_tradnl"/>
        </w:rPr>
      </w:pPr>
    </w:p>
    <w:p w14:paraId="3D177D6C" w14:textId="77777777" w:rsidR="00324E2A" w:rsidRPr="007C243E" w:rsidRDefault="00324E2A" w:rsidP="00F05F63">
      <w:pPr>
        <w:tabs>
          <w:tab w:val="center" w:pos="5400"/>
        </w:tabs>
        <w:suppressAutoHyphens/>
        <w:jc w:val="center"/>
        <w:rPr>
          <w:szCs w:val="20"/>
          <w:lang w:val="es-ES_tradnl"/>
        </w:rPr>
      </w:pPr>
    </w:p>
    <w:p w14:paraId="4933705A" w14:textId="77777777" w:rsidR="00324E2A" w:rsidRPr="007C243E" w:rsidRDefault="00324E2A" w:rsidP="00F05F63">
      <w:pPr>
        <w:tabs>
          <w:tab w:val="center" w:pos="5400"/>
        </w:tabs>
        <w:suppressAutoHyphens/>
        <w:jc w:val="center"/>
        <w:rPr>
          <w:szCs w:val="20"/>
          <w:lang w:val="es-ES_tradnl"/>
        </w:rPr>
      </w:pPr>
    </w:p>
    <w:p w14:paraId="5569F78C" w14:textId="77777777" w:rsidR="00324E2A" w:rsidRPr="007C243E" w:rsidRDefault="00324E2A" w:rsidP="00F05F63">
      <w:pPr>
        <w:tabs>
          <w:tab w:val="center" w:pos="5400"/>
        </w:tabs>
        <w:suppressAutoHyphens/>
        <w:jc w:val="center"/>
        <w:rPr>
          <w:szCs w:val="20"/>
          <w:lang w:val="es-ES_tradnl"/>
        </w:rPr>
      </w:pPr>
    </w:p>
    <w:p w14:paraId="5D4AA14E" w14:textId="77777777" w:rsidR="00324E2A" w:rsidRPr="007C243E" w:rsidRDefault="00324E2A" w:rsidP="00F05F63">
      <w:pPr>
        <w:tabs>
          <w:tab w:val="center" w:pos="5400"/>
        </w:tabs>
        <w:suppressAutoHyphens/>
        <w:jc w:val="center"/>
        <w:rPr>
          <w:szCs w:val="20"/>
          <w:lang w:val="es-ES_tradnl"/>
        </w:rPr>
      </w:pPr>
    </w:p>
    <w:p w14:paraId="131B1950" w14:textId="77777777" w:rsidR="00324E2A" w:rsidRPr="007C243E" w:rsidRDefault="00324E2A" w:rsidP="00F05F63">
      <w:pPr>
        <w:tabs>
          <w:tab w:val="center" w:pos="5400"/>
        </w:tabs>
        <w:suppressAutoHyphens/>
        <w:jc w:val="center"/>
        <w:rPr>
          <w:szCs w:val="20"/>
          <w:lang w:val="es-ES_tradnl"/>
        </w:rPr>
      </w:pPr>
    </w:p>
    <w:p w14:paraId="11A6BBBA" w14:textId="77777777" w:rsidR="00324E2A" w:rsidRPr="007C243E" w:rsidRDefault="00324E2A" w:rsidP="00F05F63">
      <w:pPr>
        <w:tabs>
          <w:tab w:val="center" w:pos="5400"/>
        </w:tabs>
        <w:suppressAutoHyphens/>
        <w:jc w:val="center"/>
        <w:rPr>
          <w:szCs w:val="20"/>
          <w:lang w:val="es-ES_tradnl"/>
        </w:rPr>
      </w:pPr>
    </w:p>
    <w:p w14:paraId="447C81BF" w14:textId="77777777" w:rsidR="00324E2A" w:rsidRPr="007C243E" w:rsidRDefault="00324E2A" w:rsidP="00F05F63">
      <w:pPr>
        <w:tabs>
          <w:tab w:val="center" w:pos="5400"/>
        </w:tabs>
        <w:suppressAutoHyphens/>
        <w:jc w:val="center"/>
        <w:rPr>
          <w:szCs w:val="20"/>
          <w:lang w:val="es-ES_tradnl"/>
        </w:rPr>
      </w:pPr>
    </w:p>
    <w:p w14:paraId="778A588C" w14:textId="77777777" w:rsidR="00324E2A" w:rsidRPr="007C243E" w:rsidRDefault="00324E2A" w:rsidP="00F05F63">
      <w:pPr>
        <w:tabs>
          <w:tab w:val="center" w:pos="5400"/>
        </w:tabs>
        <w:suppressAutoHyphens/>
        <w:jc w:val="center"/>
        <w:rPr>
          <w:szCs w:val="20"/>
          <w:lang w:val="es-ES_tradnl"/>
        </w:rPr>
      </w:pPr>
    </w:p>
    <w:p w14:paraId="1173DCBC" w14:textId="77777777" w:rsidR="00324E2A" w:rsidRPr="007C243E" w:rsidRDefault="00324E2A" w:rsidP="00F05F63">
      <w:pPr>
        <w:tabs>
          <w:tab w:val="center" w:pos="5400"/>
        </w:tabs>
        <w:suppressAutoHyphens/>
        <w:jc w:val="center"/>
        <w:rPr>
          <w:szCs w:val="20"/>
          <w:lang w:val="es-ES_tradnl"/>
        </w:rPr>
      </w:pPr>
    </w:p>
    <w:p w14:paraId="24E7E51A" w14:textId="77777777" w:rsidR="00324E2A" w:rsidRPr="007C243E" w:rsidRDefault="00324E2A" w:rsidP="00F05F63">
      <w:pPr>
        <w:tabs>
          <w:tab w:val="center" w:pos="5400"/>
        </w:tabs>
        <w:suppressAutoHyphens/>
        <w:jc w:val="center"/>
        <w:rPr>
          <w:szCs w:val="20"/>
          <w:lang w:val="es-ES_tradnl"/>
        </w:rPr>
      </w:pPr>
    </w:p>
    <w:p w14:paraId="6F4CD0E3" w14:textId="77777777" w:rsidR="00324E2A" w:rsidRPr="007C243E" w:rsidRDefault="00324E2A" w:rsidP="00F05F63">
      <w:pPr>
        <w:tabs>
          <w:tab w:val="center" w:pos="5400"/>
        </w:tabs>
        <w:suppressAutoHyphens/>
        <w:jc w:val="center"/>
        <w:rPr>
          <w:szCs w:val="20"/>
          <w:lang w:val="es-ES_tradnl"/>
        </w:rPr>
      </w:pPr>
    </w:p>
    <w:p w14:paraId="70F68860" w14:textId="77777777" w:rsidR="00324E2A" w:rsidRPr="007C243E" w:rsidRDefault="00324E2A" w:rsidP="00F05F63">
      <w:pPr>
        <w:tabs>
          <w:tab w:val="center" w:pos="5400"/>
        </w:tabs>
        <w:suppressAutoHyphens/>
        <w:jc w:val="center"/>
        <w:rPr>
          <w:szCs w:val="20"/>
          <w:lang w:val="es-ES_tradnl"/>
        </w:rPr>
      </w:pPr>
    </w:p>
    <w:p w14:paraId="3CDACB14" w14:textId="77777777" w:rsidR="00324E2A" w:rsidRPr="007C243E" w:rsidRDefault="00324E2A" w:rsidP="00F05F63">
      <w:pPr>
        <w:tabs>
          <w:tab w:val="center" w:pos="5400"/>
        </w:tabs>
        <w:suppressAutoHyphens/>
        <w:jc w:val="center"/>
        <w:rPr>
          <w:szCs w:val="20"/>
          <w:lang w:val="es-ES_tradnl"/>
        </w:rPr>
      </w:pPr>
    </w:p>
    <w:p w14:paraId="30AD9003" w14:textId="77777777" w:rsidR="00324E2A" w:rsidRPr="007C243E" w:rsidRDefault="00324E2A" w:rsidP="00F05F63">
      <w:pPr>
        <w:tabs>
          <w:tab w:val="center" w:pos="5400"/>
        </w:tabs>
        <w:suppressAutoHyphens/>
        <w:jc w:val="center"/>
        <w:rPr>
          <w:szCs w:val="20"/>
          <w:lang w:val="es-ES_tradnl"/>
        </w:rPr>
      </w:pPr>
    </w:p>
    <w:p w14:paraId="0D7AA373" w14:textId="77777777" w:rsidR="00324E2A" w:rsidRPr="007C243E" w:rsidRDefault="00324E2A" w:rsidP="00F05F63">
      <w:pPr>
        <w:tabs>
          <w:tab w:val="center" w:pos="5400"/>
        </w:tabs>
        <w:suppressAutoHyphens/>
        <w:jc w:val="center"/>
        <w:rPr>
          <w:szCs w:val="20"/>
          <w:lang w:val="es-ES_tradnl"/>
        </w:rPr>
      </w:pPr>
    </w:p>
    <w:p w14:paraId="34DD3CE2" w14:textId="77777777" w:rsidR="00324E2A" w:rsidRPr="007C243E" w:rsidRDefault="00324E2A" w:rsidP="00F05F63">
      <w:pPr>
        <w:tabs>
          <w:tab w:val="center" w:pos="5400"/>
        </w:tabs>
        <w:suppressAutoHyphens/>
        <w:jc w:val="center"/>
        <w:rPr>
          <w:szCs w:val="20"/>
          <w:lang w:val="es-ES_tradnl"/>
        </w:rPr>
      </w:pPr>
    </w:p>
    <w:p w14:paraId="2675763B" w14:textId="77777777" w:rsidR="00324E2A" w:rsidRPr="007C243E" w:rsidRDefault="00324E2A" w:rsidP="00F05F63">
      <w:pPr>
        <w:tabs>
          <w:tab w:val="center" w:pos="5400"/>
        </w:tabs>
        <w:suppressAutoHyphens/>
        <w:jc w:val="center"/>
        <w:rPr>
          <w:szCs w:val="20"/>
          <w:lang w:val="es-ES_tradnl"/>
        </w:rPr>
      </w:pPr>
    </w:p>
    <w:p w14:paraId="03457DE5" w14:textId="72D1BF76" w:rsidR="00324E2A" w:rsidRPr="007C243E" w:rsidRDefault="00BB1170" w:rsidP="00F05F63">
      <w:pPr>
        <w:tabs>
          <w:tab w:val="center" w:pos="5400"/>
        </w:tabs>
        <w:suppressAutoHyphens/>
        <w:jc w:val="center"/>
        <w:rPr>
          <w:szCs w:val="20"/>
          <w:lang w:val="es-ES_tradnl"/>
        </w:rPr>
      </w:pPr>
      <w:r w:rsidRPr="007C243E">
        <w:rPr>
          <w:noProof/>
        </w:rPr>
        <mc:AlternateContent>
          <mc:Choice Requires="wps">
            <w:drawing>
              <wp:anchor distT="0" distB="0" distL="114300" distR="114300" simplePos="0" relativeHeight="251656192" behindDoc="0" locked="0" layoutInCell="1" allowOverlap="1" wp14:anchorId="2572B35E" wp14:editId="460CC44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93D83" w14:textId="5732278D" w:rsidR="00324E2A" w:rsidRPr="0085585E" w:rsidRDefault="00324E2A" w:rsidP="00FE2E22">
                            <w:pPr>
                              <w:tabs>
                                <w:tab w:val="center" w:pos="5400"/>
                              </w:tabs>
                              <w:suppressAutoHyphens/>
                              <w:spacing w:before="60"/>
                              <w:jc w:val="both"/>
                              <w:rPr>
                                <w:rFonts w:cs="Univers"/>
                                <w:color w:val="0D0D0D"/>
                                <w:sz w:val="18"/>
                                <w:szCs w:val="20"/>
                                <w:lang w:val="es-ES_tradnl"/>
                              </w:rPr>
                            </w:pPr>
                            <w:r w:rsidRPr="0085585E">
                              <w:rPr>
                                <w:color w:val="0D0D0D"/>
                                <w:sz w:val="18"/>
                                <w:szCs w:val="20"/>
                                <w:lang w:val="es-ES"/>
                              </w:rPr>
                              <w:t xml:space="preserve">Aprobado </w:t>
                            </w:r>
                            <w:r w:rsidR="00241D4F">
                              <w:rPr>
                                <w:color w:val="0D0D0D"/>
                                <w:sz w:val="18"/>
                                <w:szCs w:val="20"/>
                                <w:lang w:val="es-ES"/>
                              </w:rPr>
                              <w:t xml:space="preserve">electrónicamente por la Comisión el </w:t>
                            </w:r>
                            <w:r w:rsidR="00770BB6">
                              <w:rPr>
                                <w:color w:val="0D0D0D"/>
                                <w:sz w:val="18"/>
                                <w:szCs w:val="20"/>
                                <w:lang w:val="es-ES"/>
                              </w:rPr>
                              <w:t>25</w:t>
                            </w:r>
                            <w:r w:rsidR="00241D4F">
                              <w:rPr>
                                <w:color w:val="0D0D0D"/>
                                <w:sz w:val="18"/>
                                <w:szCs w:val="20"/>
                                <w:lang w:val="es-ES"/>
                              </w:rPr>
                              <w:t xml:space="preserve"> de </w:t>
                            </w:r>
                            <w:r w:rsidR="008E3E7A">
                              <w:rPr>
                                <w:color w:val="0D0D0D"/>
                                <w:sz w:val="18"/>
                                <w:szCs w:val="20"/>
                                <w:lang w:val="es-ES"/>
                              </w:rPr>
                              <w:t>julio</w:t>
                            </w:r>
                            <w:r w:rsidR="00241D4F">
                              <w:rPr>
                                <w:color w:val="0D0D0D"/>
                                <w:sz w:val="18"/>
                                <w:szCs w:val="20"/>
                                <w:lang w:val="es-ES"/>
                              </w:rPr>
                              <w:t xml:space="preserve"> de 2022</w:t>
                            </w:r>
                          </w:p>
                          <w:p w14:paraId="5999BF67" w14:textId="77777777" w:rsidR="00324E2A" w:rsidRPr="0085585E" w:rsidRDefault="00324E2A" w:rsidP="00FE2E22">
                            <w:pPr>
                              <w:tabs>
                                <w:tab w:val="center" w:pos="5400"/>
                              </w:tabs>
                              <w:suppressAutoHyphens/>
                              <w:spacing w:before="60"/>
                              <w:jc w:val="both"/>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72B35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6B593D83" w14:textId="5732278D" w:rsidR="00324E2A" w:rsidRPr="0085585E" w:rsidRDefault="00324E2A" w:rsidP="00FE2E22">
                      <w:pPr>
                        <w:tabs>
                          <w:tab w:val="center" w:pos="5400"/>
                        </w:tabs>
                        <w:suppressAutoHyphens/>
                        <w:spacing w:before="60"/>
                        <w:jc w:val="both"/>
                        <w:rPr>
                          <w:rFonts w:cs="Univers"/>
                          <w:color w:val="0D0D0D"/>
                          <w:sz w:val="18"/>
                          <w:szCs w:val="20"/>
                          <w:lang w:val="es-ES_tradnl"/>
                        </w:rPr>
                      </w:pPr>
                      <w:r w:rsidRPr="0085585E">
                        <w:rPr>
                          <w:color w:val="0D0D0D"/>
                          <w:sz w:val="18"/>
                          <w:szCs w:val="20"/>
                          <w:lang w:val="es-ES"/>
                        </w:rPr>
                        <w:t xml:space="preserve">Aprobado </w:t>
                      </w:r>
                      <w:r w:rsidR="00241D4F">
                        <w:rPr>
                          <w:color w:val="0D0D0D"/>
                          <w:sz w:val="18"/>
                          <w:szCs w:val="20"/>
                          <w:lang w:val="es-ES"/>
                        </w:rPr>
                        <w:t xml:space="preserve">electrónicamente por la Comisión el </w:t>
                      </w:r>
                      <w:r w:rsidR="00770BB6">
                        <w:rPr>
                          <w:color w:val="0D0D0D"/>
                          <w:sz w:val="18"/>
                          <w:szCs w:val="20"/>
                          <w:lang w:val="es-ES"/>
                        </w:rPr>
                        <w:t>25</w:t>
                      </w:r>
                      <w:r w:rsidR="00241D4F">
                        <w:rPr>
                          <w:color w:val="0D0D0D"/>
                          <w:sz w:val="18"/>
                          <w:szCs w:val="20"/>
                          <w:lang w:val="es-ES"/>
                        </w:rPr>
                        <w:t xml:space="preserve"> de </w:t>
                      </w:r>
                      <w:r w:rsidR="008E3E7A">
                        <w:rPr>
                          <w:color w:val="0D0D0D"/>
                          <w:sz w:val="18"/>
                          <w:szCs w:val="20"/>
                          <w:lang w:val="es-ES"/>
                        </w:rPr>
                        <w:t>julio</w:t>
                      </w:r>
                      <w:r w:rsidR="00241D4F">
                        <w:rPr>
                          <w:color w:val="0D0D0D"/>
                          <w:sz w:val="18"/>
                          <w:szCs w:val="20"/>
                          <w:lang w:val="es-ES"/>
                        </w:rPr>
                        <w:t xml:space="preserve"> de 2022</w:t>
                      </w:r>
                    </w:p>
                    <w:p w14:paraId="5999BF67" w14:textId="77777777" w:rsidR="00324E2A" w:rsidRPr="0085585E" w:rsidRDefault="00324E2A" w:rsidP="00FE2E22">
                      <w:pPr>
                        <w:tabs>
                          <w:tab w:val="center" w:pos="5400"/>
                        </w:tabs>
                        <w:suppressAutoHyphens/>
                        <w:spacing w:before="60"/>
                        <w:jc w:val="both"/>
                        <w:rPr>
                          <w:rFonts w:ascii="Calibri" w:hAnsi="Calibri"/>
                          <w:color w:val="FFFFFF"/>
                          <w:spacing w:val="-2"/>
                          <w:sz w:val="16"/>
                          <w:lang w:val="es-ES"/>
                        </w:rPr>
                      </w:pPr>
                    </w:p>
                  </w:txbxContent>
                </v:textbox>
              </v:shape>
            </w:pict>
          </mc:Fallback>
        </mc:AlternateContent>
      </w:r>
    </w:p>
    <w:p w14:paraId="1BFB601C" w14:textId="77777777" w:rsidR="00324E2A" w:rsidRPr="007C243E" w:rsidRDefault="00324E2A" w:rsidP="00F05F63">
      <w:pPr>
        <w:tabs>
          <w:tab w:val="center" w:pos="5400"/>
        </w:tabs>
        <w:suppressAutoHyphens/>
        <w:jc w:val="center"/>
        <w:rPr>
          <w:szCs w:val="20"/>
          <w:lang w:val="es-ES_tradnl"/>
        </w:rPr>
      </w:pPr>
    </w:p>
    <w:p w14:paraId="15A2C235" w14:textId="77777777" w:rsidR="00324E2A" w:rsidRPr="007C243E" w:rsidRDefault="00324E2A" w:rsidP="00F05F63">
      <w:pPr>
        <w:tabs>
          <w:tab w:val="center" w:pos="5400"/>
        </w:tabs>
        <w:suppressAutoHyphens/>
        <w:jc w:val="center"/>
        <w:rPr>
          <w:szCs w:val="20"/>
          <w:lang w:val="es-ES_tradnl"/>
        </w:rPr>
      </w:pPr>
    </w:p>
    <w:p w14:paraId="20011FEE" w14:textId="77777777" w:rsidR="00324E2A" w:rsidRPr="007C243E" w:rsidRDefault="00324E2A" w:rsidP="00F05F63">
      <w:pPr>
        <w:tabs>
          <w:tab w:val="center" w:pos="5400"/>
        </w:tabs>
        <w:suppressAutoHyphens/>
        <w:jc w:val="center"/>
        <w:rPr>
          <w:szCs w:val="20"/>
          <w:lang w:val="es-ES_tradnl"/>
        </w:rPr>
      </w:pPr>
    </w:p>
    <w:p w14:paraId="6632BB89" w14:textId="77777777" w:rsidR="00324E2A" w:rsidRPr="007C243E" w:rsidRDefault="00324E2A" w:rsidP="00F05F63">
      <w:pPr>
        <w:tabs>
          <w:tab w:val="center" w:pos="5400"/>
        </w:tabs>
        <w:suppressAutoHyphens/>
        <w:jc w:val="center"/>
        <w:rPr>
          <w:szCs w:val="20"/>
          <w:lang w:val="es-ES_tradnl"/>
        </w:rPr>
      </w:pPr>
    </w:p>
    <w:p w14:paraId="43515AF3" w14:textId="1CB717A5" w:rsidR="00324E2A" w:rsidRPr="007C243E" w:rsidRDefault="00BB1170" w:rsidP="00F05F63">
      <w:pPr>
        <w:tabs>
          <w:tab w:val="center" w:pos="5400"/>
        </w:tabs>
        <w:suppressAutoHyphens/>
        <w:jc w:val="center"/>
        <w:rPr>
          <w:szCs w:val="20"/>
          <w:lang w:val="es-ES_tradnl"/>
        </w:rPr>
      </w:pPr>
      <w:r w:rsidRPr="007C243E">
        <w:rPr>
          <w:noProof/>
        </w:rPr>
        <mc:AlternateContent>
          <mc:Choice Requires="wps">
            <w:drawing>
              <wp:anchor distT="0" distB="0" distL="114300" distR="114300" simplePos="0" relativeHeight="251659264" behindDoc="0" locked="0" layoutInCell="1" allowOverlap="1" wp14:anchorId="006A0819" wp14:editId="1D5338C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5A5C1" w14:textId="589FBED1" w:rsidR="00324E2A" w:rsidRPr="00DB1D9B" w:rsidRDefault="00324E2A" w:rsidP="00786CF0">
                            <w:pPr>
                              <w:spacing w:line="276" w:lineRule="auto"/>
                              <w:jc w:val="both"/>
                              <w:rPr>
                                <w:color w:val="595959"/>
                                <w:sz w:val="18"/>
                                <w:szCs w:val="18"/>
                                <w:lang w:val="es-ES"/>
                              </w:rPr>
                            </w:pPr>
                            <w:r w:rsidRPr="0060415E">
                              <w:rPr>
                                <w:b/>
                                <w:color w:val="595959"/>
                                <w:sz w:val="18"/>
                                <w:szCs w:val="18"/>
                                <w:lang w:val="es-ES"/>
                              </w:rPr>
                              <w:t>Citar como:</w:t>
                            </w:r>
                            <w:r w:rsidRPr="0060415E">
                              <w:rPr>
                                <w:color w:val="595959"/>
                                <w:sz w:val="18"/>
                                <w:szCs w:val="18"/>
                                <w:lang w:val="es-ES"/>
                              </w:rPr>
                              <w:t xml:space="preserve"> CIDH, Informe No. </w:t>
                            </w:r>
                            <w:r w:rsidR="00770BB6">
                              <w:rPr>
                                <w:color w:val="595959"/>
                                <w:sz w:val="18"/>
                                <w:szCs w:val="18"/>
                                <w:lang w:val="es-ES_tradnl"/>
                              </w:rPr>
                              <w:t>167</w:t>
                            </w:r>
                            <w:r w:rsidR="00786CF0">
                              <w:rPr>
                                <w:color w:val="595959"/>
                                <w:sz w:val="18"/>
                                <w:szCs w:val="18"/>
                                <w:lang w:val="es-ES_tradnl"/>
                              </w:rPr>
                              <w:t>/</w:t>
                            </w:r>
                            <w:r w:rsidR="00770BB6">
                              <w:rPr>
                                <w:color w:val="595959"/>
                                <w:sz w:val="18"/>
                                <w:szCs w:val="18"/>
                                <w:lang w:val="es-ES_tradnl"/>
                              </w:rPr>
                              <w:t>2</w:t>
                            </w:r>
                            <w:r w:rsidR="005F6807">
                              <w:rPr>
                                <w:color w:val="595959"/>
                                <w:sz w:val="18"/>
                                <w:szCs w:val="18"/>
                                <w:lang w:val="es-ES_tradnl"/>
                              </w:rPr>
                              <w:t>2</w:t>
                            </w:r>
                            <w:r>
                              <w:rPr>
                                <w:color w:val="595959"/>
                                <w:sz w:val="18"/>
                                <w:szCs w:val="18"/>
                                <w:lang w:val="es-ES_tradnl"/>
                              </w:rPr>
                              <w:t>,</w:t>
                            </w:r>
                            <w:r w:rsidR="005F6807">
                              <w:rPr>
                                <w:color w:val="595959"/>
                                <w:sz w:val="18"/>
                                <w:szCs w:val="18"/>
                                <w:lang w:val="es-ES_tradnl"/>
                              </w:rPr>
                              <w:t xml:space="preserve"> Archivo.</w:t>
                            </w:r>
                            <w:r w:rsidR="00786CF0">
                              <w:rPr>
                                <w:color w:val="595959"/>
                                <w:sz w:val="18"/>
                                <w:szCs w:val="18"/>
                                <w:lang w:val="es-ES_tradnl"/>
                              </w:rPr>
                              <w:t xml:space="preserve"> </w:t>
                            </w:r>
                            <w:r>
                              <w:rPr>
                                <w:color w:val="595959"/>
                                <w:sz w:val="18"/>
                                <w:szCs w:val="18"/>
                                <w:lang w:val="es-ES_tradnl"/>
                              </w:rPr>
                              <w:t>Pe</w:t>
                            </w:r>
                            <w:r w:rsidR="00786CF0">
                              <w:rPr>
                                <w:color w:val="595959"/>
                                <w:sz w:val="18"/>
                                <w:szCs w:val="18"/>
                                <w:lang w:val="es-ES_tradnl"/>
                              </w:rPr>
                              <w:t xml:space="preserve">tición </w:t>
                            </w:r>
                            <w:r w:rsidR="005F6807">
                              <w:rPr>
                                <w:color w:val="595959"/>
                                <w:sz w:val="18"/>
                                <w:szCs w:val="18"/>
                                <w:lang w:val="es-ES_tradnl"/>
                              </w:rPr>
                              <w:t>1186-09</w:t>
                            </w:r>
                            <w:r w:rsidRPr="0085585E">
                              <w:rPr>
                                <w:color w:val="595959"/>
                                <w:sz w:val="18"/>
                                <w:szCs w:val="18"/>
                                <w:lang w:val="es-ES_tradnl"/>
                              </w:rPr>
                              <w:t xml:space="preserve">. </w:t>
                            </w:r>
                            <w:r w:rsidR="005F6807">
                              <w:rPr>
                                <w:color w:val="595959"/>
                                <w:sz w:val="18"/>
                                <w:szCs w:val="18"/>
                                <w:lang w:val="es-ES_tradnl"/>
                              </w:rPr>
                              <w:t>Adela Villamil</w:t>
                            </w:r>
                            <w:r>
                              <w:rPr>
                                <w:color w:val="595959"/>
                                <w:sz w:val="18"/>
                                <w:szCs w:val="18"/>
                                <w:lang w:val="es-ES_tradnl"/>
                              </w:rPr>
                              <w:t>.</w:t>
                            </w:r>
                            <w:r w:rsidR="00D01443">
                              <w:rPr>
                                <w:color w:val="595959"/>
                                <w:sz w:val="18"/>
                                <w:szCs w:val="18"/>
                                <w:lang w:val="es-ES_tradnl"/>
                              </w:rPr>
                              <w:t xml:space="preserve"> </w:t>
                            </w:r>
                            <w:r w:rsidR="005F6807">
                              <w:rPr>
                                <w:color w:val="595959"/>
                                <w:sz w:val="18"/>
                                <w:szCs w:val="18"/>
                                <w:lang w:val="es-ES_tradnl"/>
                              </w:rPr>
                              <w:t>Bolivia</w:t>
                            </w:r>
                            <w:r w:rsidRPr="0085585E">
                              <w:rPr>
                                <w:color w:val="595959"/>
                                <w:sz w:val="18"/>
                                <w:szCs w:val="18"/>
                                <w:lang w:val="es-ES_tradnl"/>
                              </w:rPr>
                              <w:t>.</w:t>
                            </w:r>
                            <w:r w:rsidR="005F6807">
                              <w:rPr>
                                <w:color w:val="595959"/>
                                <w:sz w:val="18"/>
                                <w:szCs w:val="18"/>
                                <w:lang w:val="es-ES_tradnl"/>
                              </w:rPr>
                              <w:t xml:space="preserve"> </w:t>
                            </w:r>
                            <w:r w:rsidR="00770BB6">
                              <w:rPr>
                                <w:color w:val="595959"/>
                                <w:sz w:val="18"/>
                                <w:szCs w:val="18"/>
                                <w:lang w:val="es-ES_tradnl"/>
                              </w:rPr>
                              <w:t>25</w:t>
                            </w:r>
                            <w:r w:rsidR="00786CF0">
                              <w:rPr>
                                <w:color w:val="595959"/>
                                <w:sz w:val="18"/>
                                <w:szCs w:val="18"/>
                                <w:lang w:val="es-ES_tradnl"/>
                              </w:rPr>
                              <w:t xml:space="preserve"> de </w:t>
                            </w:r>
                            <w:r w:rsidR="008E3E7A">
                              <w:rPr>
                                <w:color w:val="595959"/>
                                <w:sz w:val="18"/>
                                <w:szCs w:val="18"/>
                                <w:lang w:val="es-ES_tradnl"/>
                              </w:rPr>
                              <w:t>julio</w:t>
                            </w:r>
                            <w:r w:rsidR="00D01443">
                              <w:rPr>
                                <w:color w:val="595959"/>
                                <w:sz w:val="18"/>
                                <w:szCs w:val="18"/>
                                <w:lang w:val="es-ES_tradnl"/>
                              </w:rPr>
                              <w:t xml:space="preserve"> 20</w:t>
                            </w:r>
                            <w:r w:rsidR="005F6807">
                              <w:rPr>
                                <w:color w:val="595959"/>
                                <w:sz w:val="18"/>
                                <w:szCs w:val="18"/>
                                <w:lang w:val="es-ES_tradnl"/>
                              </w:rPr>
                              <w:t>22</w:t>
                            </w:r>
                            <w:r w:rsidRPr="00DB1D9B">
                              <w:rPr>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6A0819"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04F5A5C1" w14:textId="589FBED1" w:rsidR="00324E2A" w:rsidRPr="00DB1D9B" w:rsidRDefault="00324E2A" w:rsidP="00786CF0">
                      <w:pPr>
                        <w:spacing w:line="276" w:lineRule="auto"/>
                        <w:jc w:val="both"/>
                        <w:rPr>
                          <w:color w:val="595959"/>
                          <w:sz w:val="18"/>
                          <w:szCs w:val="18"/>
                          <w:lang w:val="es-ES"/>
                        </w:rPr>
                      </w:pPr>
                      <w:r w:rsidRPr="0060415E">
                        <w:rPr>
                          <w:b/>
                          <w:color w:val="595959"/>
                          <w:sz w:val="18"/>
                          <w:szCs w:val="18"/>
                          <w:lang w:val="es-ES"/>
                        </w:rPr>
                        <w:t>Citar como:</w:t>
                      </w:r>
                      <w:r w:rsidRPr="0060415E">
                        <w:rPr>
                          <w:color w:val="595959"/>
                          <w:sz w:val="18"/>
                          <w:szCs w:val="18"/>
                          <w:lang w:val="es-ES"/>
                        </w:rPr>
                        <w:t xml:space="preserve"> CIDH, Informe No. </w:t>
                      </w:r>
                      <w:r w:rsidR="00770BB6">
                        <w:rPr>
                          <w:color w:val="595959"/>
                          <w:sz w:val="18"/>
                          <w:szCs w:val="18"/>
                          <w:lang w:val="es-ES_tradnl"/>
                        </w:rPr>
                        <w:t>167</w:t>
                      </w:r>
                      <w:r w:rsidR="00786CF0">
                        <w:rPr>
                          <w:color w:val="595959"/>
                          <w:sz w:val="18"/>
                          <w:szCs w:val="18"/>
                          <w:lang w:val="es-ES_tradnl"/>
                        </w:rPr>
                        <w:t>/</w:t>
                      </w:r>
                      <w:r w:rsidR="00770BB6">
                        <w:rPr>
                          <w:color w:val="595959"/>
                          <w:sz w:val="18"/>
                          <w:szCs w:val="18"/>
                          <w:lang w:val="es-ES_tradnl"/>
                        </w:rPr>
                        <w:t>2</w:t>
                      </w:r>
                      <w:r w:rsidR="005F6807">
                        <w:rPr>
                          <w:color w:val="595959"/>
                          <w:sz w:val="18"/>
                          <w:szCs w:val="18"/>
                          <w:lang w:val="es-ES_tradnl"/>
                        </w:rPr>
                        <w:t>2</w:t>
                      </w:r>
                      <w:r>
                        <w:rPr>
                          <w:color w:val="595959"/>
                          <w:sz w:val="18"/>
                          <w:szCs w:val="18"/>
                          <w:lang w:val="es-ES_tradnl"/>
                        </w:rPr>
                        <w:t>,</w:t>
                      </w:r>
                      <w:r w:rsidR="005F6807">
                        <w:rPr>
                          <w:color w:val="595959"/>
                          <w:sz w:val="18"/>
                          <w:szCs w:val="18"/>
                          <w:lang w:val="es-ES_tradnl"/>
                        </w:rPr>
                        <w:t xml:space="preserve"> Archivo.</w:t>
                      </w:r>
                      <w:r w:rsidR="00786CF0">
                        <w:rPr>
                          <w:color w:val="595959"/>
                          <w:sz w:val="18"/>
                          <w:szCs w:val="18"/>
                          <w:lang w:val="es-ES_tradnl"/>
                        </w:rPr>
                        <w:t xml:space="preserve"> </w:t>
                      </w:r>
                      <w:r>
                        <w:rPr>
                          <w:color w:val="595959"/>
                          <w:sz w:val="18"/>
                          <w:szCs w:val="18"/>
                          <w:lang w:val="es-ES_tradnl"/>
                        </w:rPr>
                        <w:t>Pe</w:t>
                      </w:r>
                      <w:r w:rsidR="00786CF0">
                        <w:rPr>
                          <w:color w:val="595959"/>
                          <w:sz w:val="18"/>
                          <w:szCs w:val="18"/>
                          <w:lang w:val="es-ES_tradnl"/>
                        </w:rPr>
                        <w:t xml:space="preserve">tición </w:t>
                      </w:r>
                      <w:r w:rsidR="005F6807">
                        <w:rPr>
                          <w:color w:val="595959"/>
                          <w:sz w:val="18"/>
                          <w:szCs w:val="18"/>
                          <w:lang w:val="es-ES_tradnl"/>
                        </w:rPr>
                        <w:t>1186-09</w:t>
                      </w:r>
                      <w:r w:rsidRPr="0085585E">
                        <w:rPr>
                          <w:color w:val="595959"/>
                          <w:sz w:val="18"/>
                          <w:szCs w:val="18"/>
                          <w:lang w:val="es-ES_tradnl"/>
                        </w:rPr>
                        <w:t xml:space="preserve">. </w:t>
                      </w:r>
                      <w:r w:rsidR="005F6807">
                        <w:rPr>
                          <w:color w:val="595959"/>
                          <w:sz w:val="18"/>
                          <w:szCs w:val="18"/>
                          <w:lang w:val="es-ES_tradnl"/>
                        </w:rPr>
                        <w:t>Adela Villamil</w:t>
                      </w:r>
                      <w:r>
                        <w:rPr>
                          <w:color w:val="595959"/>
                          <w:sz w:val="18"/>
                          <w:szCs w:val="18"/>
                          <w:lang w:val="es-ES_tradnl"/>
                        </w:rPr>
                        <w:t>.</w:t>
                      </w:r>
                      <w:r w:rsidR="00D01443">
                        <w:rPr>
                          <w:color w:val="595959"/>
                          <w:sz w:val="18"/>
                          <w:szCs w:val="18"/>
                          <w:lang w:val="es-ES_tradnl"/>
                        </w:rPr>
                        <w:t xml:space="preserve"> </w:t>
                      </w:r>
                      <w:r w:rsidR="005F6807">
                        <w:rPr>
                          <w:color w:val="595959"/>
                          <w:sz w:val="18"/>
                          <w:szCs w:val="18"/>
                          <w:lang w:val="es-ES_tradnl"/>
                        </w:rPr>
                        <w:t>Bolivia</w:t>
                      </w:r>
                      <w:r w:rsidRPr="0085585E">
                        <w:rPr>
                          <w:color w:val="595959"/>
                          <w:sz w:val="18"/>
                          <w:szCs w:val="18"/>
                          <w:lang w:val="es-ES_tradnl"/>
                        </w:rPr>
                        <w:t>.</w:t>
                      </w:r>
                      <w:r w:rsidR="005F6807">
                        <w:rPr>
                          <w:color w:val="595959"/>
                          <w:sz w:val="18"/>
                          <w:szCs w:val="18"/>
                          <w:lang w:val="es-ES_tradnl"/>
                        </w:rPr>
                        <w:t xml:space="preserve"> </w:t>
                      </w:r>
                      <w:r w:rsidR="00770BB6">
                        <w:rPr>
                          <w:color w:val="595959"/>
                          <w:sz w:val="18"/>
                          <w:szCs w:val="18"/>
                          <w:lang w:val="es-ES_tradnl"/>
                        </w:rPr>
                        <w:t>25</w:t>
                      </w:r>
                      <w:r w:rsidR="00786CF0">
                        <w:rPr>
                          <w:color w:val="595959"/>
                          <w:sz w:val="18"/>
                          <w:szCs w:val="18"/>
                          <w:lang w:val="es-ES_tradnl"/>
                        </w:rPr>
                        <w:t xml:space="preserve"> de </w:t>
                      </w:r>
                      <w:r w:rsidR="008E3E7A">
                        <w:rPr>
                          <w:color w:val="595959"/>
                          <w:sz w:val="18"/>
                          <w:szCs w:val="18"/>
                          <w:lang w:val="es-ES_tradnl"/>
                        </w:rPr>
                        <w:t>julio</w:t>
                      </w:r>
                      <w:r w:rsidR="00D01443">
                        <w:rPr>
                          <w:color w:val="595959"/>
                          <w:sz w:val="18"/>
                          <w:szCs w:val="18"/>
                          <w:lang w:val="es-ES_tradnl"/>
                        </w:rPr>
                        <w:t xml:space="preserve"> 20</w:t>
                      </w:r>
                      <w:r w:rsidR="005F6807">
                        <w:rPr>
                          <w:color w:val="595959"/>
                          <w:sz w:val="18"/>
                          <w:szCs w:val="18"/>
                          <w:lang w:val="es-ES_tradnl"/>
                        </w:rPr>
                        <w:t>22</w:t>
                      </w:r>
                      <w:r w:rsidRPr="00DB1D9B">
                        <w:rPr>
                          <w:color w:val="595959"/>
                          <w:sz w:val="18"/>
                          <w:szCs w:val="18"/>
                          <w:lang w:val="es-ES"/>
                        </w:rPr>
                        <w:t>.</w:t>
                      </w:r>
                    </w:p>
                  </w:txbxContent>
                </v:textbox>
              </v:shape>
            </w:pict>
          </mc:Fallback>
        </mc:AlternateContent>
      </w:r>
    </w:p>
    <w:p w14:paraId="231AF080" w14:textId="77777777" w:rsidR="00324E2A" w:rsidRPr="007C243E" w:rsidRDefault="00324E2A" w:rsidP="00F05F63">
      <w:pPr>
        <w:tabs>
          <w:tab w:val="center" w:pos="5400"/>
        </w:tabs>
        <w:suppressAutoHyphens/>
        <w:jc w:val="center"/>
        <w:rPr>
          <w:szCs w:val="20"/>
          <w:lang w:val="es-ES_tradnl"/>
        </w:rPr>
      </w:pPr>
    </w:p>
    <w:p w14:paraId="5B891845" w14:textId="02588277" w:rsidR="00324E2A" w:rsidRPr="007C243E" w:rsidRDefault="00BB1170" w:rsidP="00F05F63">
      <w:pPr>
        <w:tabs>
          <w:tab w:val="center" w:pos="5400"/>
        </w:tabs>
        <w:suppressAutoHyphens/>
        <w:jc w:val="center"/>
        <w:rPr>
          <w:b/>
          <w:szCs w:val="20"/>
          <w:lang w:val="es-ES_tradnl"/>
        </w:rPr>
      </w:pPr>
      <w:r w:rsidRPr="007C243E">
        <w:rPr>
          <w:noProof/>
        </w:rPr>
        <mc:AlternateContent>
          <mc:Choice Requires="wps">
            <w:drawing>
              <wp:anchor distT="0" distB="0" distL="114300" distR="114300" simplePos="0" relativeHeight="251660288" behindDoc="0" locked="0" layoutInCell="1" allowOverlap="1" wp14:anchorId="01ECE86A" wp14:editId="7EFB1B70">
                <wp:simplePos x="0" y="0"/>
                <wp:positionH relativeFrom="column">
                  <wp:posOffset>1329690</wp:posOffset>
                </wp:positionH>
                <wp:positionV relativeFrom="paragraph">
                  <wp:posOffset>638810</wp:posOffset>
                </wp:positionV>
                <wp:extent cx="4096385" cy="5670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wps:spPr>
                      <wps:txbx>
                        <w:txbxContent>
                          <w:p w14:paraId="022CBB4A" w14:textId="4F9047BE" w:rsidR="00324E2A" w:rsidRPr="0085585E" w:rsidRDefault="00E90359" w:rsidP="00324E2A">
                            <w:pPr>
                              <w:rPr>
                                <w:color w:val="FFFFFF"/>
                              </w:rPr>
                            </w:pPr>
                            <w:r>
                              <w:rPr>
                                <w:noProof/>
                                <w:color w:val="FFFFFF"/>
                              </w:rPr>
                              <w:drawing>
                                <wp:inline distT="0" distB="0" distL="0" distR="0" wp14:anchorId="0BFCB301" wp14:editId="51CA0E37">
                                  <wp:extent cx="1323975" cy="352425"/>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CE86A"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j+QEAANE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" stroked="f">
                <v:textbox>
                  <w:txbxContent>
                    <w:p w14:paraId="022CBB4A" w14:textId="4F9047BE" w:rsidR="00324E2A" w:rsidRPr="0085585E" w:rsidRDefault="00E90359" w:rsidP="00324E2A">
                      <w:pPr>
                        <w:rPr>
                          <w:color w:val="FFFFFF"/>
                        </w:rPr>
                      </w:pPr>
                      <w:r>
                        <w:rPr>
                          <w:noProof/>
                          <w:color w:val="FFFFFF"/>
                        </w:rPr>
                        <w:drawing>
                          <wp:inline distT="0" distB="0" distL="0" distR="0" wp14:anchorId="0BFCB301" wp14:editId="51CA0E37">
                            <wp:extent cx="1323975" cy="352425"/>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352425"/>
                                    </a:xfrm>
                                    <a:prstGeom prst="rect">
                                      <a:avLst/>
                                    </a:prstGeom>
                                    <a:noFill/>
                                    <a:ln>
                                      <a:noFill/>
                                    </a:ln>
                                  </pic:spPr>
                                </pic:pic>
                              </a:graphicData>
                            </a:graphic>
                          </wp:inline>
                        </w:drawing>
                      </w:r>
                    </w:p>
                  </w:txbxContent>
                </v:textbox>
              </v:shape>
            </w:pict>
          </mc:Fallback>
        </mc:AlternateContent>
      </w:r>
      <w:r w:rsidRPr="007C243E">
        <w:rPr>
          <w:noProof/>
        </w:rPr>
        <mc:AlternateContent>
          <mc:Choice Requires="wps">
            <w:drawing>
              <wp:anchor distT="0" distB="0" distL="114300" distR="114300" simplePos="0" relativeHeight="251661312" behindDoc="0" locked="0" layoutInCell="1" allowOverlap="1" wp14:anchorId="396D87F3" wp14:editId="27414968">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091E8" w14:textId="77777777" w:rsidR="00324E2A" w:rsidRPr="0085585E" w:rsidRDefault="00324E2A" w:rsidP="00324E2A">
                            <w:pPr>
                              <w:jc w:val="center"/>
                              <w:rPr>
                                <w:rFonts w:ascii="Calibri" w:hAnsi="Calibri"/>
                                <w:b/>
                                <w:color w:val="FFFFFF"/>
                              </w:rPr>
                            </w:pPr>
                            <w:r w:rsidRPr="0085585E">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D87F3"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3AC091E8" w14:textId="77777777" w:rsidR="00324E2A" w:rsidRPr="0085585E" w:rsidRDefault="00324E2A" w:rsidP="00324E2A">
                      <w:pPr>
                        <w:jc w:val="center"/>
                        <w:rPr>
                          <w:rFonts w:ascii="Calibri" w:hAnsi="Calibri"/>
                          <w:b/>
                          <w:color w:val="FFFFFF"/>
                        </w:rPr>
                      </w:pPr>
                      <w:r w:rsidRPr="0085585E">
                        <w:rPr>
                          <w:rFonts w:ascii="Calibri" w:hAnsi="Calibri"/>
                          <w:b/>
                          <w:color w:val="FFFFFF"/>
                          <w:lang w:val="pt-BR"/>
                        </w:rPr>
                        <w:t>www.cidh.org</w:t>
                      </w:r>
                    </w:p>
                  </w:txbxContent>
                </v:textbox>
              </v:shape>
            </w:pict>
          </mc:Fallback>
        </mc:AlternateContent>
      </w:r>
    </w:p>
    <w:p w14:paraId="3574EAA1" w14:textId="77777777" w:rsidR="00324E2A" w:rsidRPr="007C243E" w:rsidRDefault="00324E2A" w:rsidP="00F05F63">
      <w:pPr>
        <w:tabs>
          <w:tab w:val="center" w:pos="5400"/>
        </w:tabs>
        <w:suppressAutoHyphens/>
        <w:jc w:val="center"/>
        <w:rPr>
          <w:b/>
          <w:szCs w:val="20"/>
          <w:lang w:val="es-ES_tradnl"/>
        </w:rPr>
        <w:sectPr w:rsidR="00324E2A" w:rsidRPr="007C243E" w:rsidSect="00BC1DB2">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rtlGutter/>
          <w:docGrid w:linePitch="326"/>
        </w:sectPr>
      </w:pPr>
    </w:p>
    <w:p w14:paraId="6159FAFA" w14:textId="278AFE92" w:rsidR="00811B56" w:rsidRPr="007C243E" w:rsidRDefault="00786CF0" w:rsidP="00F05F63">
      <w:pPr>
        <w:jc w:val="center"/>
        <w:rPr>
          <w:b/>
          <w:bCs/>
          <w:sz w:val="18"/>
          <w:szCs w:val="18"/>
          <w:lang w:val="es-ES" w:eastAsia="es-ES"/>
        </w:rPr>
      </w:pPr>
      <w:r w:rsidRPr="007C243E">
        <w:rPr>
          <w:b/>
          <w:bCs/>
          <w:sz w:val="18"/>
          <w:szCs w:val="18"/>
          <w:lang w:val="es-ES" w:eastAsia="es-ES"/>
        </w:rPr>
        <w:lastRenderedPageBreak/>
        <w:t xml:space="preserve">INFORME No. </w:t>
      </w:r>
      <w:r w:rsidR="00770BB6">
        <w:rPr>
          <w:b/>
          <w:bCs/>
          <w:sz w:val="18"/>
          <w:szCs w:val="18"/>
          <w:lang w:val="es-ES" w:eastAsia="es-ES"/>
        </w:rPr>
        <w:t>167</w:t>
      </w:r>
      <w:r w:rsidR="00377BC8" w:rsidRPr="007C243E">
        <w:rPr>
          <w:b/>
          <w:bCs/>
          <w:sz w:val="18"/>
          <w:szCs w:val="18"/>
          <w:lang w:val="es-ES" w:eastAsia="es-ES"/>
        </w:rPr>
        <w:t>/</w:t>
      </w:r>
      <w:r w:rsidR="005F6807" w:rsidRPr="007C243E">
        <w:rPr>
          <w:b/>
          <w:bCs/>
          <w:sz w:val="18"/>
          <w:szCs w:val="18"/>
          <w:lang w:val="es-ES" w:eastAsia="es-ES"/>
        </w:rPr>
        <w:t>22</w:t>
      </w:r>
      <w:r w:rsidR="00811B56" w:rsidRPr="007C243E">
        <w:rPr>
          <w:b/>
          <w:bCs/>
          <w:sz w:val="18"/>
          <w:szCs w:val="18"/>
          <w:lang w:val="es-ES" w:eastAsia="es-ES"/>
        </w:rPr>
        <w:t xml:space="preserve"> </w:t>
      </w:r>
    </w:p>
    <w:p w14:paraId="53FE3684" w14:textId="5E2F34BA" w:rsidR="00811B56" w:rsidRPr="007C243E" w:rsidRDefault="00811B56" w:rsidP="00F05F63">
      <w:pPr>
        <w:jc w:val="center"/>
        <w:rPr>
          <w:sz w:val="18"/>
          <w:szCs w:val="18"/>
          <w:lang w:val="es-ES" w:eastAsia="es-ES"/>
        </w:rPr>
      </w:pPr>
      <w:r w:rsidRPr="007C243E">
        <w:rPr>
          <w:bCs/>
          <w:sz w:val="18"/>
          <w:szCs w:val="18"/>
          <w:lang w:val="es-ES" w:eastAsia="es-ES"/>
        </w:rPr>
        <w:t>P</w:t>
      </w:r>
      <w:r w:rsidR="00377BC8" w:rsidRPr="007C243E">
        <w:rPr>
          <w:sz w:val="18"/>
          <w:szCs w:val="18"/>
          <w:lang w:val="es-ES" w:eastAsia="es-ES"/>
        </w:rPr>
        <w:t xml:space="preserve">ETICIÓN </w:t>
      </w:r>
      <w:r w:rsidR="005F6807" w:rsidRPr="007C243E">
        <w:rPr>
          <w:sz w:val="18"/>
          <w:szCs w:val="18"/>
          <w:lang w:val="es-ES" w:eastAsia="es-ES"/>
        </w:rPr>
        <w:t>1186-09</w:t>
      </w:r>
    </w:p>
    <w:p w14:paraId="5A7E3CCB" w14:textId="77777777" w:rsidR="00811B56" w:rsidRPr="007C243E" w:rsidRDefault="00377BC8" w:rsidP="00F05F63">
      <w:pPr>
        <w:jc w:val="center"/>
        <w:rPr>
          <w:sz w:val="18"/>
          <w:szCs w:val="18"/>
          <w:lang w:val="es-ES" w:eastAsia="es-ES"/>
        </w:rPr>
      </w:pPr>
      <w:r w:rsidRPr="007C243E">
        <w:rPr>
          <w:sz w:val="18"/>
          <w:szCs w:val="18"/>
          <w:lang w:val="es-ES" w:eastAsia="es-ES"/>
        </w:rPr>
        <w:t>DECISIÓN DE ARCHIVO</w:t>
      </w:r>
    </w:p>
    <w:p w14:paraId="37EF2597" w14:textId="5AB837CC" w:rsidR="00811B56" w:rsidRPr="007C243E" w:rsidRDefault="005F6807" w:rsidP="00F05F63">
      <w:pPr>
        <w:jc w:val="center"/>
        <w:rPr>
          <w:sz w:val="18"/>
          <w:szCs w:val="18"/>
          <w:lang w:val="es-ES" w:eastAsia="es-ES"/>
        </w:rPr>
      </w:pPr>
      <w:r w:rsidRPr="007C243E">
        <w:rPr>
          <w:sz w:val="18"/>
          <w:szCs w:val="18"/>
          <w:lang w:val="es-ES" w:eastAsia="es-ES"/>
        </w:rPr>
        <w:t>BOLIVIA</w:t>
      </w:r>
    </w:p>
    <w:p w14:paraId="6C81F6A2" w14:textId="1ADD7FE5" w:rsidR="00811B56" w:rsidRPr="007C243E" w:rsidRDefault="00770BB6" w:rsidP="00F05F63">
      <w:pPr>
        <w:jc w:val="center"/>
        <w:rPr>
          <w:sz w:val="18"/>
          <w:szCs w:val="18"/>
          <w:lang w:val="es-ES" w:eastAsia="es-ES"/>
        </w:rPr>
      </w:pPr>
      <w:r>
        <w:rPr>
          <w:sz w:val="18"/>
          <w:szCs w:val="18"/>
          <w:lang w:val="es-ES" w:eastAsia="es-ES"/>
        </w:rPr>
        <w:t>25</w:t>
      </w:r>
      <w:r w:rsidR="005B5059" w:rsidRPr="007C243E">
        <w:rPr>
          <w:sz w:val="18"/>
          <w:szCs w:val="18"/>
          <w:lang w:val="es-ES" w:eastAsia="es-ES"/>
        </w:rPr>
        <w:t xml:space="preserve"> DE </w:t>
      </w:r>
      <w:r w:rsidR="008E3E7A">
        <w:rPr>
          <w:sz w:val="18"/>
          <w:szCs w:val="18"/>
          <w:lang w:val="es-ES" w:eastAsia="es-ES"/>
        </w:rPr>
        <w:t>JULIO</w:t>
      </w:r>
      <w:r w:rsidR="005B5059" w:rsidRPr="007C243E">
        <w:rPr>
          <w:sz w:val="18"/>
          <w:szCs w:val="18"/>
          <w:lang w:val="es-ES" w:eastAsia="es-ES"/>
        </w:rPr>
        <w:t xml:space="preserve"> DE 20</w:t>
      </w:r>
      <w:r w:rsidR="005F6807" w:rsidRPr="007C243E">
        <w:rPr>
          <w:sz w:val="18"/>
          <w:szCs w:val="18"/>
          <w:lang w:val="es-ES" w:eastAsia="es-ES"/>
        </w:rPr>
        <w:t>22</w:t>
      </w:r>
    </w:p>
    <w:p w14:paraId="50DF8A74" w14:textId="77777777" w:rsidR="005B5059" w:rsidRPr="007C243E" w:rsidRDefault="005B5059" w:rsidP="00F05F63">
      <w:pPr>
        <w:jc w:val="center"/>
        <w:rPr>
          <w:b/>
          <w:sz w:val="18"/>
          <w:szCs w:val="18"/>
          <w:lang w:val="es-ES" w:eastAsia="es-ES"/>
        </w:rPr>
      </w:pPr>
    </w:p>
    <w:p w14:paraId="2ACF69AC" w14:textId="77777777" w:rsidR="005B5059" w:rsidRPr="007C243E" w:rsidRDefault="005B5059" w:rsidP="00F05F63">
      <w:pPr>
        <w:ind w:left="3948" w:hanging="3948"/>
        <w:jc w:val="both"/>
        <w:rPr>
          <w:b/>
          <w:caps/>
          <w:szCs w:val="20"/>
          <w:lang w:val="es-ES" w:eastAsia="es-ES"/>
        </w:rPr>
      </w:pPr>
    </w:p>
    <w:p w14:paraId="7215A3AE" w14:textId="611E7104" w:rsidR="00811B56" w:rsidRPr="007C243E" w:rsidRDefault="00811B56" w:rsidP="00CE20F5">
      <w:pPr>
        <w:jc w:val="both"/>
        <w:rPr>
          <w:szCs w:val="20"/>
          <w:lang w:val="es-ES" w:eastAsia="es-ES"/>
        </w:rPr>
      </w:pPr>
      <w:r w:rsidRPr="007C243E">
        <w:rPr>
          <w:b/>
          <w:caps/>
          <w:szCs w:val="20"/>
          <w:lang w:val="es-ES" w:eastAsia="es-ES"/>
        </w:rPr>
        <w:t>Presunta víctima:</w:t>
      </w:r>
      <w:r w:rsidRPr="007C243E">
        <w:rPr>
          <w:caps/>
          <w:szCs w:val="20"/>
          <w:lang w:val="es-ES" w:eastAsia="es-ES"/>
        </w:rPr>
        <w:t xml:space="preserve"> </w:t>
      </w:r>
      <w:r w:rsidRPr="007C243E">
        <w:rPr>
          <w:szCs w:val="20"/>
          <w:lang w:val="es-ES" w:eastAsia="es-ES"/>
        </w:rPr>
        <w:tab/>
      </w:r>
      <w:r w:rsidR="00CE20F5" w:rsidRPr="007C243E">
        <w:rPr>
          <w:szCs w:val="20"/>
          <w:lang w:val="es-ES" w:eastAsia="es-ES"/>
        </w:rPr>
        <w:t xml:space="preserve">                                 </w:t>
      </w:r>
      <w:r w:rsidR="005F6807" w:rsidRPr="007C243E">
        <w:rPr>
          <w:szCs w:val="20"/>
          <w:lang w:val="es-ES" w:eastAsia="es-ES"/>
        </w:rPr>
        <w:t>Adela Villamil</w:t>
      </w:r>
    </w:p>
    <w:p w14:paraId="43352CE4" w14:textId="77777777" w:rsidR="00811B56" w:rsidRPr="007C243E" w:rsidRDefault="00811B56" w:rsidP="00CE20F5">
      <w:pPr>
        <w:jc w:val="both"/>
        <w:rPr>
          <w:szCs w:val="20"/>
          <w:lang w:val="es-ES" w:eastAsia="es-ES"/>
        </w:rPr>
      </w:pPr>
    </w:p>
    <w:p w14:paraId="6A080935" w14:textId="12A9FDD9" w:rsidR="00811B56" w:rsidRPr="007C243E" w:rsidRDefault="00811B56" w:rsidP="00CE20F5">
      <w:pPr>
        <w:jc w:val="both"/>
        <w:rPr>
          <w:szCs w:val="20"/>
          <w:lang w:val="es-ES" w:eastAsia="es-ES"/>
        </w:rPr>
      </w:pPr>
      <w:r w:rsidRPr="007C243E">
        <w:rPr>
          <w:b/>
          <w:caps/>
          <w:szCs w:val="20"/>
          <w:lang w:val="es-ES" w:eastAsia="es-ES"/>
        </w:rPr>
        <w:t>Peticionario:</w:t>
      </w:r>
      <w:r w:rsidRPr="007C243E">
        <w:rPr>
          <w:szCs w:val="20"/>
          <w:lang w:val="es-ES" w:eastAsia="es-ES"/>
        </w:rPr>
        <w:tab/>
      </w:r>
      <w:r w:rsidR="00CE20F5" w:rsidRPr="007C243E">
        <w:rPr>
          <w:szCs w:val="20"/>
          <w:lang w:val="es-ES" w:eastAsia="es-ES"/>
        </w:rPr>
        <w:t xml:space="preserve">                                                  </w:t>
      </w:r>
      <w:r w:rsidR="005F6807" w:rsidRPr="007C243E">
        <w:rPr>
          <w:szCs w:val="20"/>
          <w:lang w:val="es-ES" w:eastAsia="es-ES"/>
        </w:rPr>
        <w:t>Juan Francisco Bedregal Villanueva</w:t>
      </w:r>
    </w:p>
    <w:p w14:paraId="5156230D" w14:textId="77777777" w:rsidR="00811B56" w:rsidRPr="007C243E" w:rsidRDefault="00811B56" w:rsidP="00CE20F5">
      <w:pPr>
        <w:jc w:val="both"/>
        <w:rPr>
          <w:szCs w:val="20"/>
          <w:lang w:val="es-ES" w:eastAsia="es-ES"/>
        </w:rPr>
      </w:pPr>
    </w:p>
    <w:p w14:paraId="708B79AB" w14:textId="67E28409" w:rsidR="00811B56" w:rsidRPr="007C243E" w:rsidRDefault="00811B56" w:rsidP="00CE20F5">
      <w:pPr>
        <w:jc w:val="both"/>
        <w:rPr>
          <w:szCs w:val="20"/>
          <w:lang w:val="es-ES" w:eastAsia="es-ES"/>
        </w:rPr>
      </w:pPr>
      <w:r w:rsidRPr="007C243E">
        <w:rPr>
          <w:b/>
          <w:caps/>
          <w:szCs w:val="20"/>
          <w:lang w:val="es-ES" w:eastAsia="es-ES"/>
        </w:rPr>
        <w:t>Violaciones alegadas:</w:t>
      </w:r>
      <w:r w:rsidRPr="007C243E">
        <w:rPr>
          <w:caps/>
          <w:szCs w:val="20"/>
          <w:lang w:val="es-ES" w:eastAsia="es-ES"/>
        </w:rPr>
        <w:t xml:space="preserve"> </w:t>
      </w:r>
      <w:r w:rsidR="00CE20F5" w:rsidRPr="007C243E">
        <w:rPr>
          <w:caps/>
          <w:szCs w:val="20"/>
          <w:lang w:val="es-ES" w:eastAsia="es-ES"/>
        </w:rPr>
        <w:t xml:space="preserve">                            </w:t>
      </w:r>
      <w:r w:rsidR="00F3456B" w:rsidRPr="007C243E">
        <w:rPr>
          <w:caps/>
          <w:szCs w:val="20"/>
          <w:lang w:val="es-ES" w:eastAsia="es-ES"/>
        </w:rPr>
        <w:t>DISCRIMINACIÓN</w:t>
      </w:r>
      <w:r w:rsidR="00F7304B" w:rsidRPr="007C243E">
        <w:rPr>
          <w:rStyle w:val="FootnoteReference"/>
          <w:caps/>
          <w:szCs w:val="20"/>
          <w:lang w:val="es-ES" w:eastAsia="es-ES"/>
        </w:rPr>
        <w:footnoteReference w:id="1"/>
      </w:r>
    </w:p>
    <w:p w14:paraId="31C78E0E" w14:textId="77777777" w:rsidR="00811B56" w:rsidRPr="007C243E" w:rsidRDefault="00811B56" w:rsidP="00CE20F5">
      <w:pPr>
        <w:jc w:val="both"/>
        <w:rPr>
          <w:b/>
          <w:szCs w:val="20"/>
          <w:lang w:val="es-ES" w:eastAsia="es-ES"/>
        </w:rPr>
      </w:pPr>
    </w:p>
    <w:p w14:paraId="4FA18F85" w14:textId="0D2943AD" w:rsidR="00811B56" w:rsidRPr="007C243E" w:rsidRDefault="00811B56" w:rsidP="00CE20F5">
      <w:pPr>
        <w:jc w:val="both"/>
        <w:rPr>
          <w:szCs w:val="20"/>
          <w:lang w:val="es-ES" w:eastAsia="es-ES"/>
        </w:rPr>
      </w:pPr>
      <w:r w:rsidRPr="007C243E">
        <w:rPr>
          <w:b/>
          <w:caps/>
          <w:szCs w:val="20"/>
          <w:lang w:val="es-ES" w:eastAsia="es-ES"/>
        </w:rPr>
        <w:t>Fecha de inicio del trámite:</w:t>
      </w:r>
      <w:r w:rsidRPr="007C243E">
        <w:rPr>
          <w:b/>
          <w:caps/>
          <w:szCs w:val="20"/>
          <w:lang w:val="es-ES" w:eastAsia="es-ES"/>
        </w:rPr>
        <w:tab/>
      </w:r>
      <w:r w:rsidR="00042127" w:rsidRPr="007C243E">
        <w:rPr>
          <w:szCs w:val="20"/>
          <w:lang w:val="es-ES" w:eastAsia="es-ES"/>
        </w:rPr>
        <w:t>4 de marzo de 2010</w:t>
      </w:r>
    </w:p>
    <w:p w14:paraId="0315F8C0" w14:textId="77777777" w:rsidR="009F18FE" w:rsidRPr="007C243E" w:rsidRDefault="009F18FE" w:rsidP="00CE20F5">
      <w:pPr>
        <w:ind w:firstLine="720"/>
        <w:jc w:val="both"/>
        <w:rPr>
          <w:szCs w:val="20"/>
          <w:lang w:val="es-ES" w:eastAsia="es-ES"/>
        </w:rPr>
      </w:pPr>
    </w:p>
    <w:p w14:paraId="040BB265" w14:textId="77777777" w:rsidR="00811B56" w:rsidRPr="007C243E" w:rsidRDefault="00811B56" w:rsidP="00CE20F5">
      <w:pPr>
        <w:ind w:firstLine="720"/>
        <w:rPr>
          <w:b/>
          <w:szCs w:val="20"/>
          <w:lang w:val="es-ES" w:eastAsia="es-ES"/>
        </w:rPr>
      </w:pPr>
    </w:p>
    <w:p w14:paraId="4FC76E55" w14:textId="77777777" w:rsidR="00811B56" w:rsidRPr="007C243E" w:rsidRDefault="00811B56" w:rsidP="00CE20F5">
      <w:pPr>
        <w:numPr>
          <w:ilvl w:val="0"/>
          <w:numId w:val="14"/>
        </w:numPr>
        <w:ind w:left="0" w:firstLine="720"/>
        <w:jc w:val="both"/>
        <w:rPr>
          <w:b/>
          <w:szCs w:val="20"/>
          <w:lang w:val="es-ES" w:eastAsia="es-ES"/>
        </w:rPr>
      </w:pPr>
      <w:r w:rsidRPr="007C243E">
        <w:rPr>
          <w:b/>
          <w:szCs w:val="20"/>
          <w:lang w:val="es-ES" w:eastAsia="es-ES"/>
        </w:rPr>
        <w:t>POSICIÓN DE LAS PARTES</w:t>
      </w:r>
    </w:p>
    <w:p w14:paraId="30E0A213" w14:textId="77777777" w:rsidR="00811B56" w:rsidRPr="007C243E" w:rsidRDefault="00811B56" w:rsidP="00CE20F5">
      <w:pPr>
        <w:ind w:firstLine="720"/>
        <w:jc w:val="both"/>
        <w:rPr>
          <w:b/>
          <w:szCs w:val="20"/>
          <w:lang w:val="es-ES" w:eastAsia="es-ES"/>
        </w:rPr>
      </w:pPr>
    </w:p>
    <w:p w14:paraId="34B67BA9" w14:textId="77777777" w:rsidR="00811B56" w:rsidRPr="007C243E" w:rsidRDefault="00AA30AF" w:rsidP="00CE20F5">
      <w:pPr>
        <w:numPr>
          <w:ilvl w:val="0"/>
          <w:numId w:val="13"/>
        </w:numPr>
        <w:ind w:left="0" w:firstLine="720"/>
        <w:jc w:val="both"/>
        <w:rPr>
          <w:b/>
          <w:szCs w:val="20"/>
          <w:lang w:val="es-ES" w:eastAsia="es-ES"/>
        </w:rPr>
      </w:pPr>
      <w:r w:rsidRPr="007C243E">
        <w:rPr>
          <w:b/>
          <w:szCs w:val="20"/>
          <w:lang w:val="es-ES" w:eastAsia="es-ES"/>
        </w:rPr>
        <w:t>Posición del peticionario</w:t>
      </w:r>
    </w:p>
    <w:p w14:paraId="57B2C42E" w14:textId="77777777" w:rsidR="00811B56" w:rsidRPr="007C243E" w:rsidRDefault="00811B56" w:rsidP="00CE20F5">
      <w:pPr>
        <w:ind w:firstLine="720"/>
        <w:jc w:val="both"/>
        <w:rPr>
          <w:b/>
          <w:szCs w:val="20"/>
          <w:lang w:val="es-ES" w:eastAsia="es-ES"/>
        </w:rPr>
      </w:pPr>
    </w:p>
    <w:p w14:paraId="001D04FD" w14:textId="7B9DCFCA" w:rsidR="00811B56" w:rsidRPr="007C243E" w:rsidRDefault="00811B56" w:rsidP="00CE20F5">
      <w:pPr>
        <w:numPr>
          <w:ilvl w:val="0"/>
          <w:numId w:val="9"/>
        </w:numPr>
        <w:tabs>
          <w:tab w:val="clear" w:pos="540"/>
        </w:tabs>
        <w:ind w:left="0"/>
        <w:jc w:val="both"/>
        <w:rPr>
          <w:rFonts w:cs="Tahoma"/>
          <w:szCs w:val="20"/>
          <w:lang w:val="es-ES" w:eastAsia="es-ES"/>
        </w:rPr>
      </w:pPr>
      <w:r w:rsidRPr="007C243E">
        <w:rPr>
          <w:szCs w:val="20"/>
          <w:lang w:val="es-ES"/>
        </w:rPr>
        <w:t xml:space="preserve">El </w:t>
      </w:r>
      <w:r w:rsidR="00EE75B2" w:rsidRPr="007C243E">
        <w:rPr>
          <w:szCs w:val="20"/>
          <w:lang w:val="es-ES"/>
        </w:rPr>
        <w:t>27 de julio</w:t>
      </w:r>
      <w:r w:rsidRPr="007C243E">
        <w:rPr>
          <w:szCs w:val="20"/>
          <w:lang w:val="es-ES"/>
        </w:rPr>
        <w:t xml:space="preserve"> 200</w:t>
      </w:r>
      <w:r w:rsidR="00093237" w:rsidRPr="007C243E">
        <w:rPr>
          <w:szCs w:val="20"/>
          <w:lang w:val="es-ES"/>
        </w:rPr>
        <w:t>9</w:t>
      </w:r>
      <w:r w:rsidR="009F18FE" w:rsidRPr="007C243E">
        <w:rPr>
          <w:szCs w:val="20"/>
          <w:lang w:val="es-ES"/>
        </w:rPr>
        <w:t xml:space="preserve">,  la Comisión Interamericana de Derechos Humanos </w:t>
      </w:r>
      <w:r w:rsidR="00EE75B2" w:rsidRPr="007C243E">
        <w:rPr>
          <w:rFonts w:cs="Tahoma"/>
          <w:szCs w:val="20"/>
          <w:lang w:val="es-ES" w:eastAsia="es-ES"/>
        </w:rPr>
        <w:t xml:space="preserve">(en adelante “la Comisión” o “CIDH”) </w:t>
      </w:r>
      <w:r w:rsidR="009F18FE" w:rsidRPr="007C243E">
        <w:rPr>
          <w:szCs w:val="20"/>
          <w:lang w:val="es-ES"/>
        </w:rPr>
        <w:t xml:space="preserve">recibió </w:t>
      </w:r>
      <w:r w:rsidRPr="007C243E">
        <w:rPr>
          <w:rFonts w:cs="Tahoma"/>
          <w:szCs w:val="20"/>
          <w:lang w:val="es-ES" w:eastAsia="es-ES"/>
        </w:rPr>
        <w:t xml:space="preserve">una petición </w:t>
      </w:r>
      <w:r w:rsidR="009F18FE" w:rsidRPr="007C243E">
        <w:rPr>
          <w:rFonts w:cs="Tahoma"/>
          <w:szCs w:val="20"/>
          <w:lang w:val="es-ES" w:eastAsia="es-ES"/>
        </w:rPr>
        <w:t xml:space="preserve">presentada </w:t>
      </w:r>
      <w:r w:rsidRPr="007C243E">
        <w:rPr>
          <w:rFonts w:cs="Tahoma"/>
          <w:szCs w:val="20"/>
          <w:lang w:val="es-ES" w:eastAsia="es-ES"/>
        </w:rPr>
        <w:t>por</w:t>
      </w:r>
      <w:r w:rsidR="009F18FE" w:rsidRPr="007C243E">
        <w:rPr>
          <w:rFonts w:cs="Tahoma"/>
          <w:szCs w:val="20"/>
          <w:lang w:val="es-ES" w:eastAsia="es-ES"/>
        </w:rPr>
        <w:t xml:space="preserve"> el señor</w:t>
      </w:r>
      <w:r w:rsidRPr="007C243E">
        <w:rPr>
          <w:rFonts w:cs="Tahoma"/>
          <w:szCs w:val="20"/>
          <w:lang w:val="es-ES" w:eastAsia="es-ES"/>
        </w:rPr>
        <w:t xml:space="preserve"> </w:t>
      </w:r>
      <w:r w:rsidR="005F7557" w:rsidRPr="007C243E">
        <w:rPr>
          <w:rFonts w:cs="Tahoma"/>
          <w:szCs w:val="20"/>
          <w:lang w:val="es-ES" w:eastAsia="es-ES"/>
        </w:rPr>
        <w:t>Juan Francisco Bedregal Villanueva</w:t>
      </w:r>
      <w:r w:rsidR="009F18FE" w:rsidRPr="007C243E">
        <w:rPr>
          <w:rFonts w:cs="Tahoma"/>
          <w:szCs w:val="20"/>
          <w:lang w:val="es-ES" w:eastAsia="es-ES"/>
        </w:rPr>
        <w:t xml:space="preserve"> (en adelante “el peticionario” o “los peticionarios”)</w:t>
      </w:r>
      <w:r w:rsidR="00EE75B2" w:rsidRPr="007C243E">
        <w:rPr>
          <w:rFonts w:cs="Tahoma"/>
          <w:szCs w:val="20"/>
          <w:lang w:val="es-ES" w:eastAsia="es-ES"/>
        </w:rPr>
        <w:t>,</w:t>
      </w:r>
      <w:r w:rsidR="005F7557" w:rsidRPr="007C243E">
        <w:rPr>
          <w:rFonts w:cs="Tahoma"/>
          <w:szCs w:val="20"/>
          <w:lang w:val="es-ES" w:eastAsia="es-ES"/>
        </w:rPr>
        <w:t xml:space="preserve"> en representación de</w:t>
      </w:r>
      <w:r w:rsidR="00EE75B2" w:rsidRPr="007C243E">
        <w:rPr>
          <w:rFonts w:cs="Tahoma"/>
          <w:szCs w:val="20"/>
          <w:lang w:val="es-ES" w:eastAsia="es-ES"/>
        </w:rPr>
        <w:t xml:space="preserve"> la señora</w:t>
      </w:r>
      <w:r w:rsidR="005F7557" w:rsidRPr="007C243E">
        <w:rPr>
          <w:rFonts w:cs="Tahoma"/>
          <w:szCs w:val="20"/>
          <w:lang w:val="es-ES" w:eastAsia="es-ES"/>
        </w:rPr>
        <w:t xml:space="preserve"> Adela Villamil (en adelante “presunta víctima</w:t>
      </w:r>
      <w:r w:rsidR="009F18FE" w:rsidRPr="007C243E">
        <w:rPr>
          <w:rFonts w:cs="Tahoma"/>
          <w:szCs w:val="20"/>
          <w:lang w:val="es-ES" w:eastAsia="es-ES"/>
        </w:rPr>
        <w:t>”</w:t>
      </w:r>
      <w:r w:rsidR="005F7557" w:rsidRPr="007C243E">
        <w:rPr>
          <w:rFonts w:cs="Tahoma"/>
          <w:szCs w:val="20"/>
          <w:lang w:val="es-ES" w:eastAsia="es-ES"/>
        </w:rPr>
        <w:t>)</w:t>
      </w:r>
      <w:r w:rsidR="00EE75B2" w:rsidRPr="007C243E">
        <w:rPr>
          <w:rFonts w:cs="Tahoma"/>
          <w:szCs w:val="20"/>
          <w:lang w:val="es-ES" w:eastAsia="es-ES"/>
        </w:rPr>
        <w:t xml:space="preserve">, en la cual se </w:t>
      </w:r>
      <w:r w:rsidRPr="007C243E">
        <w:rPr>
          <w:rFonts w:cs="Tahoma"/>
          <w:szCs w:val="20"/>
          <w:lang w:val="es-ES" w:eastAsia="es-ES"/>
        </w:rPr>
        <w:t xml:space="preserve">alegó la responsabilidad del Estado </w:t>
      </w:r>
      <w:r w:rsidR="005F7557" w:rsidRPr="007C243E">
        <w:rPr>
          <w:rFonts w:cs="Tahoma"/>
          <w:szCs w:val="20"/>
          <w:lang w:val="es-ES" w:eastAsia="es-ES"/>
        </w:rPr>
        <w:t>boliviano</w:t>
      </w:r>
      <w:r w:rsidRPr="007C243E">
        <w:rPr>
          <w:rFonts w:cs="Tahoma"/>
          <w:szCs w:val="20"/>
          <w:lang w:val="es-ES" w:eastAsia="es-ES"/>
        </w:rPr>
        <w:t xml:space="preserve"> (en adelante </w:t>
      </w:r>
      <w:r w:rsidR="00EE75B2" w:rsidRPr="007C243E">
        <w:rPr>
          <w:rFonts w:cs="Tahoma"/>
          <w:szCs w:val="20"/>
          <w:lang w:val="es-ES" w:eastAsia="es-ES"/>
        </w:rPr>
        <w:t>“</w:t>
      </w:r>
      <w:r w:rsidRPr="007C243E">
        <w:rPr>
          <w:rFonts w:cs="Tahoma"/>
          <w:szCs w:val="20"/>
          <w:lang w:val="es-ES" w:eastAsia="es-ES"/>
        </w:rPr>
        <w:t>el Estado</w:t>
      </w:r>
      <w:r w:rsidR="00EE75B2" w:rsidRPr="007C243E">
        <w:rPr>
          <w:rFonts w:cs="Tahoma"/>
          <w:szCs w:val="20"/>
          <w:lang w:val="es-ES" w:eastAsia="es-ES"/>
        </w:rPr>
        <w:t>”</w:t>
      </w:r>
      <w:r w:rsidR="005F7557" w:rsidRPr="007C243E">
        <w:rPr>
          <w:rFonts w:cs="Tahoma"/>
          <w:szCs w:val="20"/>
          <w:lang w:val="es-ES" w:eastAsia="es-ES"/>
        </w:rPr>
        <w:t xml:space="preserve">) por la presunta </w:t>
      </w:r>
      <w:r w:rsidR="0066538F" w:rsidRPr="007C243E">
        <w:rPr>
          <w:rFonts w:cs="Tahoma"/>
          <w:szCs w:val="20"/>
          <w:lang w:val="es-ES" w:eastAsia="es-ES"/>
        </w:rPr>
        <w:t xml:space="preserve">discriminación y </w:t>
      </w:r>
      <w:r w:rsidR="005F7557" w:rsidRPr="007C243E">
        <w:rPr>
          <w:rFonts w:cs="Tahoma"/>
          <w:szCs w:val="20"/>
          <w:lang w:val="es-ES" w:eastAsia="es-ES"/>
        </w:rPr>
        <w:t xml:space="preserve">falta de reparación por </w:t>
      </w:r>
      <w:r w:rsidR="00EE75B2" w:rsidRPr="007C243E">
        <w:rPr>
          <w:rFonts w:cs="Tahoma"/>
          <w:szCs w:val="20"/>
          <w:lang w:val="es-ES" w:eastAsia="es-ES"/>
        </w:rPr>
        <w:t>el homicidio y posterior</w:t>
      </w:r>
      <w:r w:rsidR="00B20E2F" w:rsidRPr="007C243E">
        <w:rPr>
          <w:rFonts w:cs="Tahoma"/>
          <w:szCs w:val="20"/>
          <w:lang w:val="es-ES" w:eastAsia="es-ES"/>
        </w:rPr>
        <w:t xml:space="preserve"> </w:t>
      </w:r>
      <w:r w:rsidR="00B20E2F" w:rsidRPr="00F15B5E">
        <w:rPr>
          <w:rFonts w:cs="Tahoma"/>
          <w:szCs w:val="20"/>
          <w:lang w:val="es-ES" w:eastAsia="es-ES"/>
        </w:rPr>
        <w:t>secuestro y</w:t>
      </w:r>
      <w:r w:rsidR="00EE75B2" w:rsidRPr="00F15B5E">
        <w:rPr>
          <w:rFonts w:cs="Tahoma"/>
          <w:szCs w:val="20"/>
          <w:lang w:val="es-ES" w:eastAsia="es-ES"/>
        </w:rPr>
        <w:t xml:space="preserve"> </w:t>
      </w:r>
      <w:r w:rsidR="005F7557" w:rsidRPr="00F15B5E">
        <w:rPr>
          <w:rFonts w:cs="Tahoma"/>
          <w:szCs w:val="20"/>
          <w:lang w:val="es-ES" w:eastAsia="es-ES"/>
        </w:rPr>
        <w:t>desaparición</w:t>
      </w:r>
      <w:r w:rsidR="0008227B" w:rsidRPr="00F15B5E">
        <w:rPr>
          <w:rFonts w:cs="Tahoma"/>
          <w:szCs w:val="20"/>
          <w:lang w:val="es-ES" w:eastAsia="es-ES"/>
        </w:rPr>
        <w:t xml:space="preserve"> forzada</w:t>
      </w:r>
      <w:r w:rsidR="005F7557" w:rsidRPr="00F15B5E">
        <w:rPr>
          <w:rFonts w:cs="Tahoma"/>
          <w:szCs w:val="20"/>
          <w:lang w:val="es-ES" w:eastAsia="es-ES"/>
        </w:rPr>
        <w:t xml:space="preserve"> de</w:t>
      </w:r>
      <w:r w:rsidR="00D47107" w:rsidRPr="00F15B5E">
        <w:rPr>
          <w:rFonts w:cs="Tahoma"/>
          <w:szCs w:val="20"/>
          <w:lang w:val="es-ES" w:eastAsia="es-ES"/>
        </w:rPr>
        <w:t xml:space="preserve"> los restos de</w:t>
      </w:r>
      <w:r w:rsidR="005F7557" w:rsidRPr="00F15B5E">
        <w:rPr>
          <w:rFonts w:cs="Tahoma"/>
          <w:szCs w:val="20"/>
          <w:lang w:val="es-ES" w:eastAsia="es-ES"/>
        </w:rPr>
        <w:t xml:space="preserve">l </w:t>
      </w:r>
      <w:r w:rsidR="0008227B" w:rsidRPr="00F15B5E">
        <w:rPr>
          <w:rFonts w:cs="Tahoma"/>
          <w:szCs w:val="20"/>
          <w:lang w:val="es-ES" w:eastAsia="es-ES"/>
        </w:rPr>
        <w:t>cónyuge</w:t>
      </w:r>
      <w:r w:rsidR="005F7557" w:rsidRPr="00F15B5E">
        <w:rPr>
          <w:rFonts w:cs="Tahoma"/>
          <w:szCs w:val="20"/>
          <w:lang w:val="es-ES" w:eastAsia="es-ES"/>
        </w:rPr>
        <w:t xml:space="preserve"> de la presunta víctima,</w:t>
      </w:r>
      <w:r w:rsidR="003C2125" w:rsidRPr="00F15B5E">
        <w:rPr>
          <w:rFonts w:cs="Tahoma"/>
          <w:szCs w:val="20"/>
          <w:lang w:val="es-ES" w:eastAsia="es-ES"/>
        </w:rPr>
        <w:t xml:space="preserve"> el </w:t>
      </w:r>
      <w:r w:rsidR="00035361" w:rsidRPr="00F15B5E">
        <w:rPr>
          <w:rFonts w:cs="Tahoma"/>
          <w:szCs w:val="20"/>
          <w:lang w:val="es-ES" w:eastAsia="es-ES"/>
        </w:rPr>
        <w:t>ex diputado, Juan</w:t>
      </w:r>
      <w:r w:rsidR="005F7557" w:rsidRPr="00F15B5E">
        <w:rPr>
          <w:rFonts w:cs="Tahoma"/>
          <w:szCs w:val="20"/>
          <w:lang w:val="es-ES" w:eastAsia="es-ES"/>
        </w:rPr>
        <w:t xml:space="preserve"> Carlos </w:t>
      </w:r>
      <w:r w:rsidR="00172A8C" w:rsidRPr="00F15B5E">
        <w:rPr>
          <w:rFonts w:cs="Tahoma"/>
          <w:szCs w:val="20"/>
          <w:lang w:val="es-ES" w:eastAsia="es-ES"/>
        </w:rPr>
        <w:t xml:space="preserve">Flores </w:t>
      </w:r>
      <w:r w:rsidR="005F7557" w:rsidRPr="00F15B5E">
        <w:rPr>
          <w:rFonts w:cs="Tahoma"/>
          <w:szCs w:val="20"/>
          <w:lang w:val="es-ES" w:eastAsia="es-ES"/>
        </w:rPr>
        <w:t>Bedregal</w:t>
      </w:r>
      <w:r w:rsidR="00172A8C" w:rsidRPr="00F15B5E">
        <w:rPr>
          <w:rFonts w:cs="Tahoma"/>
          <w:szCs w:val="20"/>
          <w:lang w:val="es-ES" w:eastAsia="es-ES"/>
        </w:rPr>
        <w:t>,</w:t>
      </w:r>
      <w:r w:rsidR="005F7557" w:rsidRPr="00F15B5E">
        <w:rPr>
          <w:rFonts w:cs="Tahoma"/>
          <w:szCs w:val="20"/>
          <w:lang w:val="es-ES" w:eastAsia="es-ES"/>
        </w:rPr>
        <w:t xml:space="preserve"> </w:t>
      </w:r>
      <w:r w:rsidR="00B20E2F" w:rsidRPr="00F15B5E">
        <w:rPr>
          <w:rFonts w:cs="Tahoma"/>
          <w:szCs w:val="20"/>
          <w:lang w:val="es-ES" w:eastAsia="es-ES"/>
        </w:rPr>
        <w:t>el 17 de julio de</w:t>
      </w:r>
      <w:r w:rsidR="003C2125" w:rsidRPr="00F15B5E">
        <w:rPr>
          <w:rFonts w:cs="Tahoma"/>
          <w:szCs w:val="20"/>
          <w:lang w:val="es-ES" w:eastAsia="es-ES"/>
        </w:rPr>
        <w:t xml:space="preserve"> </w:t>
      </w:r>
      <w:r w:rsidR="005F7557" w:rsidRPr="00F15B5E">
        <w:rPr>
          <w:rFonts w:cs="Tahoma"/>
          <w:szCs w:val="20"/>
          <w:lang w:val="es-ES" w:eastAsia="es-ES"/>
        </w:rPr>
        <w:t>1980</w:t>
      </w:r>
      <w:r w:rsidR="00EE75B2" w:rsidRPr="00F15B5E">
        <w:rPr>
          <w:rFonts w:cs="Tahoma"/>
          <w:szCs w:val="20"/>
          <w:lang w:val="es-ES" w:eastAsia="es-ES"/>
        </w:rPr>
        <w:t>, por parte de paramilitares</w:t>
      </w:r>
      <w:r w:rsidR="00B20E2F" w:rsidRPr="00F15B5E">
        <w:rPr>
          <w:rFonts w:cs="Tahoma"/>
          <w:szCs w:val="20"/>
          <w:lang w:val="es-ES" w:eastAsia="es-ES"/>
        </w:rPr>
        <w:t>, supuestamente bajo órdenes de agentes de las fuerzas armadas bolivianas</w:t>
      </w:r>
      <w:r w:rsidR="00B20E2F" w:rsidRPr="007C243E">
        <w:rPr>
          <w:rFonts w:cs="Tahoma"/>
          <w:szCs w:val="20"/>
          <w:lang w:val="es-ES" w:eastAsia="es-ES"/>
        </w:rPr>
        <w:t>.</w:t>
      </w:r>
    </w:p>
    <w:p w14:paraId="7454FD14" w14:textId="77777777" w:rsidR="00811B56" w:rsidRPr="007C243E" w:rsidRDefault="00811B56" w:rsidP="00CE20F5">
      <w:pPr>
        <w:ind w:firstLine="720"/>
        <w:jc w:val="both"/>
        <w:rPr>
          <w:rFonts w:cs="Tahoma"/>
          <w:szCs w:val="20"/>
          <w:lang w:val="es-ES" w:eastAsia="es-ES"/>
        </w:rPr>
      </w:pPr>
    </w:p>
    <w:p w14:paraId="25C840B3" w14:textId="6AE8AEB5" w:rsidR="00811B56" w:rsidRPr="007C243E" w:rsidRDefault="00E07B7E" w:rsidP="00CE20F5">
      <w:pPr>
        <w:pStyle w:val="ListParagraph"/>
        <w:numPr>
          <w:ilvl w:val="0"/>
          <w:numId w:val="9"/>
        </w:numPr>
        <w:ind w:left="0"/>
        <w:jc w:val="both"/>
        <w:rPr>
          <w:rFonts w:cs="Tahoma"/>
          <w:szCs w:val="20"/>
          <w:lang w:val="es-ES" w:eastAsia="es-ES"/>
        </w:rPr>
      </w:pPr>
      <w:r w:rsidRPr="007C243E">
        <w:rPr>
          <w:rFonts w:cs="Tahoma"/>
          <w:szCs w:val="20"/>
          <w:lang w:val="es-ES" w:eastAsia="es-ES"/>
        </w:rPr>
        <w:t>Según lo alegado</w:t>
      </w:r>
      <w:r w:rsidR="006F30D7" w:rsidRPr="007C243E">
        <w:rPr>
          <w:rFonts w:cs="Tahoma"/>
          <w:szCs w:val="20"/>
          <w:lang w:val="es-ES" w:eastAsia="es-ES"/>
        </w:rPr>
        <w:t xml:space="preserve"> por la parte peticionaria</w:t>
      </w:r>
      <w:r w:rsidRPr="007C243E">
        <w:rPr>
          <w:rFonts w:cs="Tahoma"/>
          <w:szCs w:val="20"/>
          <w:lang w:val="es-ES" w:eastAsia="es-ES"/>
        </w:rPr>
        <w:t xml:space="preserve">, el </w:t>
      </w:r>
      <w:r w:rsidR="00B20E2F" w:rsidRPr="007C243E">
        <w:rPr>
          <w:rFonts w:cs="Tahoma"/>
          <w:szCs w:val="20"/>
          <w:lang w:val="es-ES" w:eastAsia="es-ES"/>
        </w:rPr>
        <w:t>día de los hechos</w:t>
      </w:r>
      <w:r w:rsidRPr="007C243E">
        <w:rPr>
          <w:rFonts w:cs="Tahoma"/>
          <w:szCs w:val="20"/>
          <w:lang w:val="es-ES" w:eastAsia="es-ES"/>
        </w:rPr>
        <w:t xml:space="preserve"> se </w:t>
      </w:r>
      <w:r w:rsidR="00DA3655" w:rsidRPr="007C243E">
        <w:rPr>
          <w:rFonts w:cs="Tahoma"/>
          <w:szCs w:val="20"/>
          <w:lang w:val="es-ES" w:eastAsia="es-ES"/>
        </w:rPr>
        <w:t>llevó</w:t>
      </w:r>
      <w:r w:rsidRPr="007C243E">
        <w:rPr>
          <w:rFonts w:cs="Tahoma"/>
          <w:szCs w:val="20"/>
          <w:lang w:val="es-ES" w:eastAsia="es-ES"/>
        </w:rPr>
        <w:t xml:space="preserve"> a cabo un asalto militar a la sede de la Central Obrera Boliviana, durante el cual se habría obligado a </w:t>
      </w:r>
      <w:r w:rsidR="006F30D7" w:rsidRPr="007C243E">
        <w:rPr>
          <w:rFonts w:cs="Tahoma"/>
          <w:szCs w:val="20"/>
          <w:lang w:val="es-ES" w:eastAsia="es-ES"/>
        </w:rPr>
        <w:t>Juan Carlos Flores Bedregal</w:t>
      </w:r>
      <w:r w:rsidRPr="007C243E">
        <w:rPr>
          <w:rFonts w:cs="Tahoma"/>
          <w:szCs w:val="20"/>
          <w:lang w:val="es-ES" w:eastAsia="es-ES"/>
        </w:rPr>
        <w:t xml:space="preserve"> y a otras personas a salir a la calle, y </w:t>
      </w:r>
      <w:r w:rsidR="00172A8C" w:rsidRPr="007C243E">
        <w:rPr>
          <w:rFonts w:cs="Tahoma"/>
          <w:szCs w:val="20"/>
          <w:lang w:val="es-ES" w:eastAsia="es-ES"/>
        </w:rPr>
        <w:t xml:space="preserve">los efectivos habrían </w:t>
      </w:r>
      <w:r w:rsidRPr="007C243E">
        <w:rPr>
          <w:rFonts w:cs="Tahoma"/>
          <w:szCs w:val="20"/>
          <w:lang w:val="es-ES" w:eastAsia="es-ES"/>
        </w:rPr>
        <w:t>disparado contra la multitud</w:t>
      </w:r>
      <w:r w:rsidR="00B20E2F" w:rsidRPr="007C243E">
        <w:rPr>
          <w:rFonts w:cs="Tahoma"/>
          <w:szCs w:val="20"/>
          <w:lang w:val="es-ES" w:eastAsia="es-ES"/>
        </w:rPr>
        <w:t xml:space="preserve"> dando </w:t>
      </w:r>
      <w:r w:rsidR="00172A8C" w:rsidRPr="007C243E">
        <w:rPr>
          <w:rFonts w:cs="Tahoma"/>
          <w:szCs w:val="20"/>
          <w:lang w:val="es-ES" w:eastAsia="es-ES"/>
        </w:rPr>
        <w:t>“</w:t>
      </w:r>
      <w:r w:rsidR="00B20E2F" w:rsidRPr="007C243E">
        <w:rPr>
          <w:rFonts w:cs="Tahoma"/>
          <w:szCs w:val="20"/>
          <w:lang w:val="es-ES" w:eastAsia="es-ES"/>
        </w:rPr>
        <w:t>muerte en acción</w:t>
      </w:r>
      <w:r w:rsidR="00172A8C" w:rsidRPr="007C243E">
        <w:rPr>
          <w:rFonts w:cs="Tahoma"/>
          <w:szCs w:val="20"/>
          <w:lang w:val="es-ES" w:eastAsia="es-ES"/>
        </w:rPr>
        <w:t>”</w:t>
      </w:r>
      <w:r w:rsidRPr="007C243E">
        <w:rPr>
          <w:rFonts w:cs="Tahoma"/>
          <w:szCs w:val="20"/>
          <w:lang w:val="es-ES" w:eastAsia="es-ES"/>
        </w:rPr>
        <w:t xml:space="preserve"> a Marcelo Quiroga Santa Cruz y a</w:t>
      </w:r>
      <w:r w:rsidR="006F30D7" w:rsidRPr="007C243E">
        <w:rPr>
          <w:rFonts w:cs="Tahoma"/>
          <w:szCs w:val="20"/>
          <w:lang w:val="es-ES" w:eastAsia="es-ES"/>
        </w:rPr>
        <w:t xml:space="preserve">l señor </w:t>
      </w:r>
      <w:r w:rsidRPr="007C243E">
        <w:rPr>
          <w:rFonts w:cs="Tahoma"/>
          <w:szCs w:val="20"/>
          <w:lang w:val="es-ES" w:eastAsia="es-ES"/>
        </w:rPr>
        <w:t xml:space="preserve">Flores Bedregal. Ambos </w:t>
      </w:r>
      <w:r w:rsidR="00B20E2F" w:rsidRPr="007C243E">
        <w:rPr>
          <w:rFonts w:cs="Tahoma"/>
          <w:szCs w:val="20"/>
          <w:lang w:val="es-ES" w:eastAsia="es-ES"/>
        </w:rPr>
        <w:t>cadáveres</w:t>
      </w:r>
      <w:r w:rsidRPr="007C243E">
        <w:rPr>
          <w:rFonts w:cs="Tahoma"/>
          <w:szCs w:val="20"/>
          <w:lang w:val="es-ES" w:eastAsia="es-ES"/>
        </w:rPr>
        <w:t xml:space="preserve"> habrían sido trasladados al Estado Mayor del Ejército</w:t>
      </w:r>
      <w:r w:rsidR="00B20E2F" w:rsidRPr="007C243E">
        <w:rPr>
          <w:rFonts w:cs="Tahoma"/>
          <w:szCs w:val="20"/>
          <w:lang w:val="es-ES" w:eastAsia="es-ES"/>
        </w:rPr>
        <w:t>, luego a la Morgue,</w:t>
      </w:r>
      <w:r w:rsidRPr="007C243E">
        <w:rPr>
          <w:rFonts w:cs="Tahoma"/>
          <w:szCs w:val="20"/>
          <w:lang w:val="es-ES" w:eastAsia="es-ES"/>
        </w:rPr>
        <w:t xml:space="preserve"> y desaparecidos con posteridad, sin que se tuviese certeza de la ubicación de sus restos.</w:t>
      </w:r>
    </w:p>
    <w:p w14:paraId="1932492D" w14:textId="77777777" w:rsidR="004D24BE" w:rsidRPr="007C243E" w:rsidRDefault="004D24BE" w:rsidP="00CE20F5">
      <w:pPr>
        <w:ind w:firstLine="720"/>
        <w:jc w:val="both"/>
        <w:rPr>
          <w:rFonts w:cs="Tahoma"/>
          <w:szCs w:val="20"/>
          <w:lang w:val="es-ES" w:eastAsia="es-ES"/>
        </w:rPr>
      </w:pPr>
    </w:p>
    <w:p w14:paraId="7C7A05EC" w14:textId="67EF32EF" w:rsidR="00E07B7E" w:rsidRPr="007C243E" w:rsidRDefault="00E07B7E" w:rsidP="00CE20F5">
      <w:pPr>
        <w:pStyle w:val="ListParagraph"/>
        <w:numPr>
          <w:ilvl w:val="0"/>
          <w:numId w:val="9"/>
        </w:numPr>
        <w:ind w:left="0"/>
        <w:jc w:val="both"/>
        <w:rPr>
          <w:rFonts w:cs="Tahoma"/>
          <w:szCs w:val="20"/>
          <w:lang w:val="es-ES" w:eastAsia="es-ES"/>
        </w:rPr>
      </w:pPr>
      <w:r w:rsidRPr="007C243E">
        <w:rPr>
          <w:rFonts w:cs="Tahoma"/>
          <w:szCs w:val="20"/>
          <w:lang w:val="es-ES" w:eastAsia="es-ES"/>
        </w:rPr>
        <w:t xml:space="preserve">La peticionaria alegó que no </w:t>
      </w:r>
      <w:r w:rsidR="00DA3655" w:rsidRPr="007C243E">
        <w:rPr>
          <w:rFonts w:cs="Tahoma"/>
          <w:szCs w:val="20"/>
          <w:lang w:val="es-ES" w:eastAsia="es-ES"/>
        </w:rPr>
        <w:t>pudo</w:t>
      </w:r>
      <w:r w:rsidRPr="007C243E">
        <w:rPr>
          <w:rFonts w:cs="Tahoma"/>
          <w:szCs w:val="20"/>
          <w:lang w:val="es-ES" w:eastAsia="es-ES"/>
        </w:rPr>
        <w:t xml:space="preserve"> adquirir el estatus de viuda por la imposibilidad de obtener un certificado de defunción, por lo cual no </w:t>
      </w:r>
      <w:r w:rsidR="00DA3655" w:rsidRPr="007C243E">
        <w:rPr>
          <w:rFonts w:cs="Tahoma"/>
          <w:szCs w:val="20"/>
          <w:lang w:val="es-ES" w:eastAsia="es-ES"/>
        </w:rPr>
        <w:t>pudo</w:t>
      </w:r>
      <w:r w:rsidRPr="007C243E">
        <w:rPr>
          <w:rFonts w:cs="Tahoma"/>
          <w:szCs w:val="20"/>
          <w:lang w:val="es-ES" w:eastAsia="es-ES"/>
        </w:rPr>
        <w:t xml:space="preserve"> acceder al legado patrimonia</w:t>
      </w:r>
      <w:r w:rsidR="00565776" w:rsidRPr="007C243E">
        <w:rPr>
          <w:rFonts w:cs="Tahoma"/>
          <w:szCs w:val="20"/>
          <w:lang w:val="es-ES" w:eastAsia="es-ES"/>
        </w:rPr>
        <w:t>l y entonces</w:t>
      </w:r>
      <w:r w:rsidRPr="007C243E">
        <w:rPr>
          <w:rFonts w:cs="Tahoma"/>
          <w:szCs w:val="20"/>
          <w:lang w:val="es-ES" w:eastAsia="es-ES"/>
        </w:rPr>
        <w:t xml:space="preserve"> los bienes habrían</w:t>
      </w:r>
      <w:r w:rsidR="00EC0A64" w:rsidRPr="007C243E">
        <w:rPr>
          <w:rFonts w:cs="Tahoma"/>
          <w:szCs w:val="20"/>
          <w:lang w:val="es-ES" w:eastAsia="es-ES"/>
        </w:rPr>
        <w:t xml:space="preserve"> sido</w:t>
      </w:r>
      <w:r w:rsidRPr="007C243E">
        <w:rPr>
          <w:rFonts w:cs="Tahoma"/>
          <w:szCs w:val="20"/>
          <w:lang w:val="es-ES" w:eastAsia="es-ES"/>
        </w:rPr>
        <w:t xml:space="preserve"> </w:t>
      </w:r>
      <w:r w:rsidR="00F1271A" w:rsidRPr="007C243E">
        <w:rPr>
          <w:rFonts w:cs="Tahoma"/>
          <w:szCs w:val="20"/>
          <w:lang w:val="es-ES" w:eastAsia="es-ES"/>
        </w:rPr>
        <w:t>dispuestos</w:t>
      </w:r>
      <w:r w:rsidRPr="007C243E">
        <w:rPr>
          <w:rFonts w:cs="Tahoma"/>
          <w:szCs w:val="20"/>
          <w:lang w:val="es-ES" w:eastAsia="es-ES"/>
        </w:rPr>
        <w:t xml:space="preserve"> a favor de terceros.</w:t>
      </w:r>
    </w:p>
    <w:p w14:paraId="70421A7B" w14:textId="77777777" w:rsidR="00E07B7E" w:rsidRPr="007C243E" w:rsidRDefault="00E07B7E" w:rsidP="00CE20F5">
      <w:pPr>
        <w:ind w:firstLine="720"/>
        <w:jc w:val="both"/>
        <w:rPr>
          <w:rFonts w:cs="Tahoma"/>
          <w:szCs w:val="20"/>
          <w:lang w:val="es-ES" w:eastAsia="es-ES"/>
        </w:rPr>
      </w:pPr>
    </w:p>
    <w:p w14:paraId="32FEC251" w14:textId="63F78378" w:rsidR="00E07B7E" w:rsidRPr="007C243E" w:rsidRDefault="00F3456B" w:rsidP="00CE20F5">
      <w:pPr>
        <w:pStyle w:val="ListParagraph"/>
        <w:numPr>
          <w:ilvl w:val="0"/>
          <w:numId w:val="9"/>
        </w:numPr>
        <w:ind w:left="0"/>
        <w:jc w:val="both"/>
        <w:rPr>
          <w:rFonts w:cs="Tahoma"/>
          <w:szCs w:val="20"/>
          <w:lang w:val="es-ES" w:eastAsia="es-ES"/>
        </w:rPr>
      </w:pPr>
      <w:r w:rsidRPr="007C243E">
        <w:rPr>
          <w:rFonts w:cs="Tahoma"/>
          <w:szCs w:val="20"/>
          <w:lang w:val="es-ES" w:eastAsia="es-ES"/>
        </w:rPr>
        <w:t>La parte peticionaria alegó que, e</w:t>
      </w:r>
      <w:r w:rsidR="00E07B7E" w:rsidRPr="007C243E">
        <w:rPr>
          <w:rFonts w:cs="Tahoma"/>
          <w:szCs w:val="20"/>
          <w:lang w:val="es-ES" w:eastAsia="es-ES"/>
        </w:rPr>
        <w:t>n 1995</w:t>
      </w:r>
      <w:r w:rsidRPr="007C243E">
        <w:rPr>
          <w:rFonts w:cs="Tahoma"/>
          <w:szCs w:val="20"/>
          <w:lang w:val="es-ES" w:eastAsia="es-ES"/>
        </w:rPr>
        <w:t>,</w:t>
      </w:r>
      <w:r w:rsidR="00E07B7E" w:rsidRPr="007C243E">
        <w:rPr>
          <w:rFonts w:cs="Tahoma"/>
          <w:szCs w:val="20"/>
          <w:lang w:val="es-ES" w:eastAsia="es-ES"/>
        </w:rPr>
        <w:t xml:space="preserve"> el Congreso Nacional </w:t>
      </w:r>
      <w:r w:rsidR="00F1271A" w:rsidRPr="007C243E">
        <w:rPr>
          <w:rFonts w:cs="Tahoma"/>
          <w:szCs w:val="20"/>
          <w:lang w:val="es-ES" w:eastAsia="es-ES"/>
        </w:rPr>
        <w:t xml:space="preserve">habría </w:t>
      </w:r>
      <w:r w:rsidR="00EC0A64" w:rsidRPr="007C243E">
        <w:rPr>
          <w:rFonts w:cs="Tahoma"/>
          <w:szCs w:val="20"/>
          <w:lang w:val="es-ES" w:eastAsia="es-ES"/>
        </w:rPr>
        <w:t>resuelto</w:t>
      </w:r>
      <w:r w:rsidR="00E07B7E" w:rsidRPr="007C243E">
        <w:rPr>
          <w:rFonts w:cs="Tahoma"/>
          <w:szCs w:val="20"/>
          <w:lang w:val="es-ES" w:eastAsia="es-ES"/>
        </w:rPr>
        <w:t xml:space="preserve"> que nueve viudas de dirigentes sociales, incluyendo la viuda de Marcelo Quiroga, obtuvieran una pensión vitalicia equivalente a un salario de representante nacional. Sin embargo, la </w:t>
      </w:r>
      <w:r w:rsidR="0018026E" w:rsidRPr="007C243E">
        <w:rPr>
          <w:rFonts w:cs="Tahoma"/>
          <w:szCs w:val="20"/>
          <w:lang w:val="es-ES" w:eastAsia="es-ES"/>
        </w:rPr>
        <w:t>presunta víctima</w:t>
      </w:r>
      <w:r w:rsidR="00E07B7E" w:rsidRPr="007C243E">
        <w:rPr>
          <w:rFonts w:cs="Tahoma"/>
          <w:szCs w:val="20"/>
          <w:lang w:val="es-ES" w:eastAsia="es-ES"/>
        </w:rPr>
        <w:t xml:space="preserve"> no </w:t>
      </w:r>
      <w:r w:rsidR="00DA3655" w:rsidRPr="007C243E">
        <w:rPr>
          <w:rFonts w:cs="Tahoma"/>
          <w:szCs w:val="20"/>
          <w:lang w:val="es-ES" w:eastAsia="es-ES"/>
        </w:rPr>
        <w:t>fue</w:t>
      </w:r>
      <w:r w:rsidR="00E07B7E" w:rsidRPr="007C243E">
        <w:rPr>
          <w:rFonts w:cs="Tahoma"/>
          <w:szCs w:val="20"/>
          <w:lang w:val="es-ES" w:eastAsia="es-ES"/>
        </w:rPr>
        <w:t xml:space="preserve"> incluida en dicho decreto a favor de las esposas de los </w:t>
      </w:r>
      <w:r w:rsidR="00F1271A" w:rsidRPr="007C243E">
        <w:rPr>
          <w:rFonts w:cs="Tahoma"/>
          <w:szCs w:val="20"/>
          <w:lang w:val="es-ES" w:eastAsia="es-ES"/>
        </w:rPr>
        <w:t>demás dirigentes</w:t>
      </w:r>
      <w:r w:rsidR="00E07B7E" w:rsidRPr="007C243E">
        <w:rPr>
          <w:rFonts w:cs="Tahoma"/>
          <w:szCs w:val="20"/>
          <w:lang w:val="es-ES" w:eastAsia="es-ES"/>
        </w:rPr>
        <w:t xml:space="preserve">. La peticionaria habría realizado diversas gestiones ante el ejecutivo y legislativo sin éxito. En ese sentido, </w:t>
      </w:r>
      <w:r w:rsidRPr="007C243E">
        <w:rPr>
          <w:rFonts w:cs="Tahoma"/>
          <w:szCs w:val="20"/>
          <w:lang w:val="es-ES" w:eastAsia="es-ES"/>
        </w:rPr>
        <w:t xml:space="preserve">manifestaron que </w:t>
      </w:r>
      <w:r w:rsidR="00E07B7E" w:rsidRPr="007C243E">
        <w:rPr>
          <w:rFonts w:cs="Tahoma"/>
          <w:szCs w:val="20"/>
          <w:lang w:val="es-ES" w:eastAsia="es-ES"/>
        </w:rPr>
        <w:t>el objetivo de su petición e</w:t>
      </w:r>
      <w:r w:rsidR="00EC0A64" w:rsidRPr="007C243E">
        <w:rPr>
          <w:rFonts w:cs="Tahoma"/>
          <w:szCs w:val="20"/>
          <w:lang w:val="es-ES" w:eastAsia="es-ES"/>
        </w:rPr>
        <w:t>ra</w:t>
      </w:r>
      <w:r w:rsidR="00E07B7E" w:rsidRPr="007C243E">
        <w:rPr>
          <w:rFonts w:cs="Tahoma"/>
          <w:szCs w:val="20"/>
          <w:lang w:val="es-ES" w:eastAsia="es-ES"/>
        </w:rPr>
        <w:t xml:space="preserve"> </w:t>
      </w:r>
      <w:r w:rsidR="00F1271A" w:rsidRPr="007C243E">
        <w:rPr>
          <w:rFonts w:cs="Tahoma"/>
          <w:szCs w:val="20"/>
          <w:lang w:val="es-ES" w:eastAsia="es-ES"/>
        </w:rPr>
        <w:t>“</w:t>
      </w:r>
      <w:r w:rsidR="00E07B7E" w:rsidRPr="007C243E">
        <w:rPr>
          <w:rFonts w:cs="Tahoma"/>
          <w:szCs w:val="20"/>
          <w:lang w:val="es-ES" w:eastAsia="es-ES"/>
        </w:rPr>
        <w:t xml:space="preserve">conseguir </w:t>
      </w:r>
      <w:r w:rsidR="00F1271A" w:rsidRPr="007C243E">
        <w:rPr>
          <w:rFonts w:cs="Tahoma"/>
          <w:szCs w:val="20"/>
          <w:lang w:val="es-ES" w:eastAsia="es-ES"/>
        </w:rPr>
        <w:t>un tratamiento similar al de los otros lideres y mártires de la democracia boliviana”</w:t>
      </w:r>
      <w:r w:rsidR="00EC0A64" w:rsidRPr="007C243E">
        <w:rPr>
          <w:rFonts w:cs="Tahoma"/>
          <w:szCs w:val="20"/>
          <w:lang w:val="es-ES" w:eastAsia="es-ES"/>
        </w:rPr>
        <w:t>,</w:t>
      </w:r>
      <w:r w:rsidR="00F1271A" w:rsidRPr="007C243E">
        <w:rPr>
          <w:rFonts w:cs="Tahoma"/>
          <w:szCs w:val="20"/>
          <w:lang w:val="es-ES" w:eastAsia="es-ES"/>
        </w:rPr>
        <w:t xml:space="preserve"> </w:t>
      </w:r>
      <w:r w:rsidR="00565776" w:rsidRPr="007C243E">
        <w:rPr>
          <w:rFonts w:cs="Tahoma"/>
          <w:szCs w:val="20"/>
          <w:lang w:val="es-ES" w:eastAsia="es-ES"/>
        </w:rPr>
        <w:t xml:space="preserve">con </w:t>
      </w:r>
      <w:r w:rsidR="00E07B7E" w:rsidRPr="007C243E">
        <w:rPr>
          <w:rFonts w:cs="Tahoma"/>
          <w:szCs w:val="20"/>
          <w:lang w:val="es-ES" w:eastAsia="es-ES"/>
        </w:rPr>
        <w:t>el beneficio de pensión vitalicia que le fue concedido a las demás esposas de los dirigentes sociales fallecidos en ese contexto.</w:t>
      </w:r>
    </w:p>
    <w:p w14:paraId="2CE760D1" w14:textId="77777777" w:rsidR="00DB53C5" w:rsidRPr="007C243E" w:rsidRDefault="00DB53C5" w:rsidP="00CE20F5">
      <w:pPr>
        <w:ind w:firstLine="720"/>
        <w:rPr>
          <w:rFonts w:cs="Tahoma"/>
          <w:szCs w:val="20"/>
          <w:lang w:val="es-ES" w:eastAsia="es-ES"/>
        </w:rPr>
      </w:pPr>
    </w:p>
    <w:p w14:paraId="2A55B83C" w14:textId="203E3632" w:rsidR="00811B56" w:rsidRPr="007C243E" w:rsidRDefault="00811B56" w:rsidP="00CE20F5">
      <w:pPr>
        <w:pStyle w:val="ListParagraph"/>
        <w:numPr>
          <w:ilvl w:val="0"/>
          <w:numId w:val="13"/>
        </w:numPr>
        <w:ind w:left="0" w:firstLine="720"/>
        <w:jc w:val="both"/>
        <w:rPr>
          <w:b/>
          <w:szCs w:val="20"/>
          <w:lang w:val="es-ES" w:eastAsia="es-ES"/>
        </w:rPr>
      </w:pPr>
      <w:r w:rsidRPr="007C243E">
        <w:rPr>
          <w:b/>
          <w:szCs w:val="20"/>
          <w:lang w:val="es-ES" w:eastAsia="es-ES"/>
        </w:rPr>
        <w:t>Posición del Estado</w:t>
      </w:r>
    </w:p>
    <w:p w14:paraId="3589944A" w14:textId="77777777" w:rsidR="00811B56" w:rsidRPr="007C243E" w:rsidRDefault="00811B56" w:rsidP="00CE20F5">
      <w:pPr>
        <w:ind w:firstLine="720"/>
        <w:jc w:val="both"/>
        <w:rPr>
          <w:szCs w:val="20"/>
          <w:lang w:val="es-ES" w:eastAsia="es-ES"/>
        </w:rPr>
      </w:pPr>
    </w:p>
    <w:p w14:paraId="7A0AA116" w14:textId="70396C26" w:rsidR="00811B56" w:rsidRPr="0008227B" w:rsidRDefault="00811B56" w:rsidP="00321DB8">
      <w:pPr>
        <w:numPr>
          <w:ilvl w:val="0"/>
          <w:numId w:val="9"/>
        </w:numPr>
        <w:tabs>
          <w:tab w:val="clear" w:pos="540"/>
        </w:tabs>
        <w:ind w:left="0"/>
        <w:jc w:val="both"/>
        <w:rPr>
          <w:szCs w:val="20"/>
          <w:lang w:val="es-ES" w:eastAsia="es-ES"/>
        </w:rPr>
      </w:pPr>
      <w:r w:rsidRPr="0008227B">
        <w:rPr>
          <w:szCs w:val="20"/>
          <w:lang w:val="es-ES" w:eastAsia="es-ES"/>
        </w:rPr>
        <w:t>El Estado</w:t>
      </w:r>
      <w:r w:rsidR="001B5D46" w:rsidRPr="0008227B">
        <w:rPr>
          <w:szCs w:val="20"/>
          <w:lang w:val="es-ES" w:eastAsia="es-ES"/>
        </w:rPr>
        <w:t xml:space="preserve"> alegó que ha desplegado esfuerzos para que los actos de dictadura no queden impunes y que ha sancionado a los responsables de los hechos y ayudado económicamente a los familiares de las víctimas. El Estado alegó que no se configuró una violación del derecho a la igualdad ante la ley establecido </w:t>
      </w:r>
      <w:r w:rsidR="001B5D46" w:rsidRPr="0008227B">
        <w:rPr>
          <w:szCs w:val="20"/>
          <w:lang w:val="es-ES" w:eastAsia="es-ES"/>
        </w:rPr>
        <w:lastRenderedPageBreak/>
        <w:t xml:space="preserve">en el </w:t>
      </w:r>
      <w:r w:rsidR="0008227B" w:rsidRPr="0008227B">
        <w:rPr>
          <w:szCs w:val="20"/>
          <w:lang w:val="es-ES" w:eastAsia="es-ES"/>
        </w:rPr>
        <w:t>artículo</w:t>
      </w:r>
      <w:r w:rsidR="001B5D46" w:rsidRPr="0008227B">
        <w:rPr>
          <w:szCs w:val="20"/>
          <w:lang w:val="es-ES" w:eastAsia="es-ES"/>
        </w:rPr>
        <w:t xml:space="preserve"> 24 de la Convención Americana Sobre Derechos Humanos dado que la supuesta discriminación denunciada por el peticionario se refiere a resoluciones que benefician a viudas y mártires de la democracia en Bolivia de los que la señora Villamil no forma</w:t>
      </w:r>
      <w:r w:rsidR="00EC0A64" w:rsidRPr="0008227B">
        <w:rPr>
          <w:szCs w:val="20"/>
          <w:lang w:val="es-ES" w:eastAsia="es-ES"/>
        </w:rPr>
        <w:t>ba</w:t>
      </w:r>
      <w:r w:rsidR="001B5D46" w:rsidRPr="0008227B">
        <w:rPr>
          <w:szCs w:val="20"/>
          <w:lang w:val="es-ES" w:eastAsia="es-ES"/>
        </w:rPr>
        <w:t xml:space="preserve"> parte. Asimismo, el Estado indicó que no se puede comparar la situación de la señora Villamil con la de la señora Quiroga Santa Cruz, dado que son situaciones que responden a realidades</w:t>
      </w:r>
      <w:r w:rsidR="00EC0A64" w:rsidRPr="0008227B">
        <w:rPr>
          <w:szCs w:val="20"/>
          <w:lang w:val="es-ES" w:eastAsia="es-ES"/>
        </w:rPr>
        <w:t xml:space="preserve"> distintas</w:t>
      </w:r>
      <w:r w:rsidR="001B5D46" w:rsidRPr="0008227B">
        <w:rPr>
          <w:szCs w:val="20"/>
          <w:lang w:val="es-ES" w:eastAsia="es-ES"/>
        </w:rPr>
        <w:t xml:space="preserve"> y que </w:t>
      </w:r>
      <w:r w:rsidR="001B5D46" w:rsidRPr="00F15B5E">
        <w:rPr>
          <w:szCs w:val="20"/>
          <w:lang w:val="es-ES" w:eastAsia="es-ES"/>
        </w:rPr>
        <w:t xml:space="preserve">la </w:t>
      </w:r>
      <w:r w:rsidR="00D47107" w:rsidRPr="00F15B5E">
        <w:rPr>
          <w:szCs w:val="20"/>
          <w:lang w:val="es-ES" w:eastAsia="es-ES"/>
        </w:rPr>
        <w:t>p</w:t>
      </w:r>
      <w:r w:rsidR="001B5D46" w:rsidRPr="00F15B5E">
        <w:rPr>
          <w:szCs w:val="20"/>
          <w:lang w:val="es-ES" w:eastAsia="es-ES"/>
        </w:rPr>
        <w:t>resunta víctima</w:t>
      </w:r>
      <w:r w:rsidR="001B5D46" w:rsidRPr="0008227B">
        <w:rPr>
          <w:szCs w:val="20"/>
          <w:lang w:val="es-ES" w:eastAsia="es-ES"/>
        </w:rPr>
        <w:t xml:space="preserve"> podía acudir a las instancias respectivas para obtener los posibles beneficios económicos siguiendo los requerimientos y tr</w:t>
      </w:r>
      <w:r w:rsidR="00EC0A64" w:rsidRPr="0008227B">
        <w:rPr>
          <w:szCs w:val="20"/>
          <w:lang w:val="es-ES" w:eastAsia="es-ES"/>
        </w:rPr>
        <w:t>á</w:t>
      </w:r>
      <w:r w:rsidR="001B5D46" w:rsidRPr="0008227B">
        <w:rPr>
          <w:szCs w:val="20"/>
          <w:lang w:val="es-ES" w:eastAsia="es-ES"/>
        </w:rPr>
        <w:t>mites correspondientes ante las instancias p</w:t>
      </w:r>
      <w:r w:rsidR="00EC0A64" w:rsidRPr="0008227B">
        <w:rPr>
          <w:szCs w:val="20"/>
          <w:lang w:val="es-ES" w:eastAsia="es-ES"/>
        </w:rPr>
        <w:t>ú</w:t>
      </w:r>
      <w:r w:rsidR="001B5D46" w:rsidRPr="0008227B">
        <w:rPr>
          <w:szCs w:val="20"/>
          <w:lang w:val="es-ES" w:eastAsia="es-ES"/>
        </w:rPr>
        <w:t xml:space="preserve">blicas pertinentes. </w:t>
      </w:r>
      <w:r w:rsidR="0008227B" w:rsidRPr="0008227B">
        <w:rPr>
          <w:szCs w:val="20"/>
          <w:lang w:val="es-ES" w:eastAsia="es-ES"/>
        </w:rPr>
        <w:t xml:space="preserve">En ese sentido, </w:t>
      </w:r>
      <w:r w:rsidR="0008227B">
        <w:rPr>
          <w:szCs w:val="20"/>
          <w:lang w:val="es-ES" w:eastAsia="es-ES"/>
        </w:rPr>
        <w:t>e</w:t>
      </w:r>
      <w:r w:rsidR="00CB53B2" w:rsidRPr="0008227B">
        <w:rPr>
          <w:szCs w:val="20"/>
          <w:lang w:val="es-ES" w:eastAsia="es-ES"/>
        </w:rPr>
        <w:t>l Estado alegó que no existió motivo de discriminación contra la señora Villamil, puesto que</w:t>
      </w:r>
      <w:r w:rsidR="00EC0A64" w:rsidRPr="0008227B">
        <w:rPr>
          <w:szCs w:val="20"/>
          <w:lang w:val="es-ES" w:eastAsia="es-ES"/>
        </w:rPr>
        <w:t>,</w:t>
      </w:r>
      <w:r w:rsidR="00CB53B2" w:rsidRPr="0008227B">
        <w:rPr>
          <w:szCs w:val="20"/>
          <w:lang w:val="es-ES" w:eastAsia="es-ES"/>
        </w:rPr>
        <w:t xml:space="preserve"> cuando se declararon las resoluciones en beneficio de los familiares de los desaparecidos en la dictadura</w:t>
      </w:r>
      <w:r w:rsidR="00EC0A64" w:rsidRPr="0008227B">
        <w:rPr>
          <w:szCs w:val="20"/>
          <w:lang w:val="es-ES" w:eastAsia="es-ES"/>
        </w:rPr>
        <w:t>,</w:t>
      </w:r>
      <w:r w:rsidR="00CB53B2" w:rsidRPr="0008227B">
        <w:rPr>
          <w:szCs w:val="20"/>
          <w:lang w:val="es-ES" w:eastAsia="es-ES"/>
        </w:rPr>
        <w:t xml:space="preserve"> la presunta víctima </w:t>
      </w:r>
      <w:r w:rsidR="00EC0A64" w:rsidRPr="0008227B">
        <w:rPr>
          <w:szCs w:val="20"/>
          <w:lang w:val="es-ES" w:eastAsia="es-ES"/>
        </w:rPr>
        <w:t>“</w:t>
      </w:r>
      <w:r w:rsidR="00CB53B2" w:rsidRPr="0008227B">
        <w:rPr>
          <w:szCs w:val="20"/>
          <w:lang w:val="es-ES" w:eastAsia="es-ES"/>
        </w:rPr>
        <w:t>no se encontraba en el país, ni residía en el mismo</w:t>
      </w:r>
      <w:r w:rsidR="00EC0A64" w:rsidRPr="0008227B">
        <w:rPr>
          <w:szCs w:val="20"/>
          <w:lang w:val="es-ES" w:eastAsia="es-ES"/>
        </w:rPr>
        <w:t>”</w:t>
      </w:r>
      <w:r w:rsidR="00CB53B2" w:rsidRPr="0008227B">
        <w:rPr>
          <w:szCs w:val="20"/>
          <w:lang w:val="es-ES" w:eastAsia="es-ES"/>
        </w:rPr>
        <w:t>.</w:t>
      </w:r>
    </w:p>
    <w:p w14:paraId="584E1A07" w14:textId="77777777" w:rsidR="008339DF" w:rsidRPr="007C243E" w:rsidRDefault="008339DF" w:rsidP="00CE20F5">
      <w:pPr>
        <w:ind w:firstLine="720"/>
        <w:jc w:val="both"/>
        <w:rPr>
          <w:szCs w:val="20"/>
          <w:lang w:val="es-ES" w:eastAsia="es-ES"/>
        </w:rPr>
      </w:pPr>
    </w:p>
    <w:p w14:paraId="5505A1F3" w14:textId="32B0FBA2" w:rsidR="008339DF" w:rsidRPr="007C243E" w:rsidRDefault="008339DF" w:rsidP="00CE20F5">
      <w:pPr>
        <w:numPr>
          <w:ilvl w:val="0"/>
          <w:numId w:val="9"/>
        </w:numPr>
        <w:tabs>
          <w:tab w:val="clear" w:pos="540"/>
        </w:tabs>
        <w:ind w:left="0"/>
        <w:jc w:val="both"/>
        <w:rPr>
          <w:szCs w:val="20"/>
          <w:lang w:val="es-ES" w:eastAsia="es-ES"/>
        </w:rPr>
      </w:pPr>
      <w:r w:rsidRPr="007C243E">
        <w:rPr>
          <w:szCs w:val="20"/>
          <w:lang w:val="es-ES" w:eastAsia="es-ES"/>
        </w:rPr>
        <w:t xml:space="preserve">Por otra parte, el Estado manifestó que los hechos principales que motivaron la petición, como el asesinato y desaparición forzada de Juan Carlos Flores Bedregal, ya estarían siendo atendidos por la CIDH en el caso N 12.709, por lo que </w:t>
      </w:r>
      <w:r w:rsidR="00EC0A64" w:rsidRPr="007C243E">
        <w:rPr>
          <w:szCs w:val="20"/>
          <w:lang w:val="es-ES" w:eastAsia="es-ES"/>
        </w:rPr>
        <w:t>existiría</w:t>
      </w:r>
      <w:r w:rsidRPr="007C243E">
        <w:rPr>
          <w:szCs w:val="20"/>
          <w:lang w:val="es-ES" w:eastAsia="es-ES"/>
        </w:rPr>
        <w:t xml:space="preserve"> una duplicidad de procedimientos. </w:t>
      </w:r>
    </w:p>
    <w:p w14:paraId="2D3388C3" w14:textId="77777777" w:rsidR="008339DF" w:rsidRPr="007C243E" w:rsidRDefault="008339DF" w:rsidP="00CE20F5">
      <w:pPr>
        <w:pStyle w:val="ListParagraph"/>
        <w:ind w:left="0" w:firstLine="720"/>
        <w:jc w:val="both"/>
        <w:rPr>
          <w:szCs w:val="20"/>
          <w:lang w:val="es-ES" w:eastAsia="es-ES"/>
        </w:rPr>
      </w:pPr>
    </w:p>
    <w:p w14:paraId="342FEA12" w14:textId="672B8ACE" w:rsidR="008339DF" w:rsidRPr="007C243E" w:rsidRDefault="008339DF" w:rsidP="00CE20F5">
      <w:pPr>
        <w:numPr>
          <w:ilvl w:val="0"/>
          <w:numId w:val="9"/>
        </w:numPr>
        <w:tabs>
          <w:tab w:val="clear" w:pos="540"/>
        </w:tabs>
        <w:ind w:left="0"/>
        <w:jc w:val="both"/>
        <w:rPr>
          <w:szCs w:val="20"/>
          <w:lang w:val="es-ES" w:eastAsia="es-ES"/>
        </w:rPr>
      </w:pPr>
      <w:r w:rsidRPr="007C243E">
        <w:rPr>
          <w:szCs w:val="20"/>
          <w:lang w:val="es-ES" w:eastAsia="es-ES"/>
        </w:rPr>
        <w:t>Por lo anterior</w:t>
      </w:r>
      <w:r w:rsidR="00CB53B2" w:rsidRPr="007C243E">
        <w:rPr>
          <w:szCs w:val="20"/>
          <w:lang w:val="es-ES" w:eastAsia="es-ES"/>
        </w:rPr>
        <w:t>,</w:t>
      </w:r>
      <w:r w:rsidRPr="007C243E">
        <w:rPr>
          <w:szCs w:val="20"/>
          <w:lang w:val="es-ES" w:eastAsia="es-ES"/>
        </w:rPr>
        <w:t xml:space="preserve"> el Estado boliviano manifestó que no existen motivos fundados </w:t>
      </w:r>
      <w:r w:rsidR="003F60F7" w:rsidRPr="007C243E">
        <w:rPr>
          <w:szCs w:val="20"/>
          <w:lang w:val="es-ES" w:eastAsia="es-ES"/>
        </w:rPr>
        <w:t>que acreditaran</w:t>
      </w:r>
      <w:r w:rsidRPr="007C243E">
        <w:rPr>
          <w:szCs w:val="20"/>
          <w:lang w:val="es-ES" w:eastAsia="es-ES"/>
        </w:rPr>
        <w:t xml:space="preserve"> la discriminación alegada por el peticionario</w:t>
      </w:r>
      <w:r w:rsidR="00DA3655" w:rsidRPr="007C243E">
        <w:rPr>
          <w:szCs w:val="20"/>
          <w:lang w:val="es-ES" w:eastAsia="es-ES"/>
        </w:rPr>
        <w:t xml:space="preserve"> y aún no se habrían interpuesto ni agotado los recursos de jurisdicción interna. </w:t>
      </w:r>
    </w:p>
    <w:p w14:paraId="04D2D0C4" w14:textId="77777777" w:rsidR="00811B56" w:rsidRPr="007C243E" w:rsidRDefault="00811B56" w:rsidP="00CE20F5">
      <w:pPr>
        <w:ind w:firstLine="720"/>
        <w:jc w:val="both"/>
        <w:rPr>
          <w:szCs w:val="20"/>
          <w:lang w:val="es-ES" w:eastAsia="es-ES"/>
        </w:rPr>
      </w:pPr>
    </w:p>
    <w:p w14:paraId="269FA7C7" w14:textId="77777777" w:rsidR="00811B56" w:rsidRPr="007C243E" w:rsidRDefault="00811B56" w:rsidP="00CE20F5">
      <w:pPr>
        <w:numPr>
          <w:ilvl w:val="0"/>
          <w:numId w:val="14"/>
        </w:numPr>
        <w:ind w:left="0" w:firstLine="720"/>
        <w:jc w:val="both"/>
        <w:rPr>
          <w:b/>
          <w:szCs w:val="20"/>
          <w:lang w:val="es-ES" w:eastAsia="es-ES"/>
        </w:rPr>
      </w:pPr>
      <w:r w:rsidRPr="007C243E">
        <w:rPr>
          <w:b/>
          <w:szCs w:val="20"/>
          <w:lang w:val="es-ES" w:eastAsia="es-ES"/>
        </w:rPr>
        <w:t>TRÁMITE ANTE LA CIDH</w:t>
      </w:r>
    </w:p>
    <w:p w14:paraId="55F43616" w14:textId="77777777" w:rsidR="00811B56" w:rsidRPr="007C243E" w:rsidRDefault="00811B56" w:rsidP="00CE20F5">
      <w:pPr>
        <w:ind w:firstLine="720"/>
        <w:jc w:val="both"/>
        <w:rPr>
          <w:szCs w:val="20"/>
          <w:lang w:val="es-ES" w:eastAsia="es-ES"/>
        </w:rPr>
      </w:pPr>
    </w:p>
    <w:p w14:paraId="2680B70D" w14:textId="454A2C1D" w:rsidR="00093237" w:rsidRPr="007C243E" w:rsidRDefault="00093237" w:rsidP="00CE20F5">
      <w:pPr>
        <w:pStyle w:val="ListParagraph"/>
        <w:numPr>
          <w:ilvl w:val="0"/>
          <w:numId w:val="9"/>
        </w:numPr>
        <w:ind w:left="0"/>
        <w:jc w:val="both"/>
        <w:rPr>
          <w:rFonts w:cs="Tahoma"/>
          <w:szCs w:val="20"/>
          <w:lang w:val="es-ES" w:eastAsia="es-ES"/>
        </w:rPr>
      </w:pPr>
      <w:r w:rsidRPr="007C243E">
        <w:rPr>
          <w:rFonts w:cs="Tahoma"/>
          <w:szCs w:val="20"/>
          <w:lang w:val="es-ES" w:eastAsia="es-ES"/>
        </w:rPr>
        <w:t xml:space="preserve">La CIDH recibió la petición el 27 de julio de 2009, la cual fue transmitida al Estado el 4 de marzo de </w:t>
      </w:r>
      <w:r w:rsidR="00CB27FE" w:rsidRPr="007C243E">
        <w:rPr>
          <w:rFonts w:cs="Tahoma"/>
          <w:szCs w:val="20"/>
          <w:lang w:val="es-ES" w:eastAsia="es-ES"/>
        </w:rPr>
        <w:t>2010.</w:t>
      </w:r>
      <w:r w:rsidRPr="007C243E">
        <w:rPr>
          <w:rFonts w:cs="Tahoma"/>
          <w:szCs w:val="20"/>
          <w:lang w:val="es-ES_tradnl" w:eastAsia="es-ES"/>
        </w:rPr>
        <w:t xml:space="preserve"> </w:t>
      </w:r>
      <w:r w:rsidR="000231E5" w:rsidRPr="007C243E">
        <w:rPr>
          <w:rFonts w:cs="Tahoma"/>
          <w:szCs w:val="20"/>
          <w:lang w:val="es-ES_tradnl" w:eastAsia="es-ES"/>
        </w:rPr>
        <w:t xml:space="preserve">El 31 de enero de 2011, el Estado presentó sus observaciones a la admisibilidad del caso. </w:t>
      </w:r>
    </w:p>
    <w:p w14:paraId="502F5F39" w14:textId="77777777" w:rsidR="00843804" w:rsidRPr="007C243E" w:rsidRDefault="00843804" w:rsidP="00CE20F5">
      <w:pPr>
        <w:ind w:firstLine="720"/>
        <w:jc w:val="both"/>
        <w:rPr>
          <w:szCs w:val="20"/>
          <w:lang w:val="es-ES"/>
        </w:rPr>
      </w:pPr>
    </w:p>
    <w:p w14:paraId="40AE106E" w14:textId="4DC97E6B" w:rsidR="003C57BD" w:rsidRPr="007C243E" w:rsidRDefault="00280AF7" w:rsidP="00484CAF">
      <w:pPr>
        <w:pStyle w:val="ListParagraph"/>
        <w:numPr>
          <w:ilvl w:val="0"/>
          <w:numId w:val="9"/>
        </w:numPr>
        <w:ind w:left="0"/>
        <w:jc w:val="both"/>
        <w:rPr>
          <w:rFonts w:cs="Calibri"/>
          <w:szCs w:val="20"/>
          <w:lang w:val="es-CO"/>
        </w:rPr>
      </w:pPr>
      <w:r w:rsidRPr="007C243E">
        <w:rPr>
          <w:szCs w:val="20"/>
          <w:lang w:val="es-ES"/>
        </w:rPr>
        <w:t xml:space="preserve">En </w:t>
      </w:r>
      <w:r w:rsidR="00843804" w:rsidRPr="007C243E">
        <w:rPr>
          <w:szCs w:val="20"/>
          <w:lang w:val="es-ES"/>
        </w:rPr>
        <w:t xml:space="preserve">2014, </w:t>
      </w:r>
      <w:r w:rsidR="00761C5B" w:rsidRPr="007C243E">
        <w:rPr>
          <w:szCs w:val="20"/>
          <w:lang w:val="es-ES"/>
        </w:rPr>
        <w:t xml:space="preserve">las partes iniciaron </w:t>
      </w:r>
      <w:r w:rsidR="00EB6CB9" w:rsidRPr="007C243E">
        <w:rPr>
          <w:szCs w:val="20"/>
          <w:lang w:val="es-ES"/>
        </w:rPr>
        <w:t>un procedimiento de</w:t>
      </w:r>
      <w:r w:rsidR="00843804" w:rsidRPr="007C243E">
        <w:rPr>
          <w:szCs w:val="20"/>
          <w:lang w:val="es-ES"/>
        </w:rPr>
        <w:t xml:space="preserve"> solución amistosa</w:t>
      </w:r>
      <w:r w:rsidR="009049E0" w:rsidRPr="007C243E">
        <w:rPr>
          <w:szCs w:val="20"/>
          <w:lang w:val="es-ES"/>
        </w:rPr>
        <w:t xml:space="preserve">, </w:t>
      </w:r>
      <w:r w:rsidR="00761C5B" w:rsidRPr="007C243E">
        <w:rPr>
          <w:szCs w:val="20"/>
          <w:lang w:val="es-ES"/>
        </w:rPr>
        <w:t>y suscribieron un primer acuerdo de solución amistosa</w:t>
      </w:r>
      <w:r w:rsidR="00EB6CB9" w:rsidRPr="007C243E">
        <w:rPr>
          <w:szCs w:val="20"/>
          <w:lang w:val="es-ES"/>
        </w:rPr>
        <w:t xml:space="preserve"> </w:t>
      </w:r>
      <w:r w:rsidR="00761C5B" w:rsidRPr="007C243E">
        <w:rPr>
          <w:szCs w:val="20"/>
          <w:lang w:val="es-ES"/>
        </w:rPr>
        <w:t>el 22 de octubre de 2020</w:t>
      </w:r>
      <w:r w:rsidR="003F60F7" w:rsidRPr="007C243E">
        <w:rPr>
          <w:szCs w:val="20"/>
          <w:lang w:val="es-ES"/>
        </w:rPr>
        <w:t xml:space="preserve"> (en adelante “acuerdo”, “acuerdo amistoso” o “ASA”)</w:t>
      </w:r>
      <w:r w:rsidR="00761C5B" w:rsidRPr="007C243E">
        <w:rPr>
          <w:szCs w:val="20"/>
          <w:lang w:val="es-ES"/>
        </w:rPr>
        <w:t xml:space="preserve">, que la Comisión consideró que no se ajustaba </w:t>
      </w:r>
      <w:r w:rsidR="003678FB" w:rsidRPr="007C243E">
        <w:rPr>
          <w:szCs w:val="20"/>
          <w:lang w:val="es-ES"/>
        </w:rPr>
        <w:t>a</w:t>
      </w:r>
      <w:r w:rsidR="00761C5B" w:rsidRPr="007C243E">
        <w:rPr>
          <w:szCs w:val="20"/>
          <w:lang w:val="es-ES"/>
        </w:rPr>
        <w:t xml:space="preserve"> </w:t>
      </w:r>
      <w:r w:rsidR="003678FB" w:rsidRPr="007C243E">
        <w:rPr>
          <w:szCs w:val="20"/>
          <w:lang w:val="es-ES"/>
        </w:rPr>
        <w:t>las determinaciones realizadas</w:t>
      </w:r>
      <w:r w:rsidR="00761C5B" w:rsidRPr="007C243E">
        <w:rPr>
          <w:szCs w:val="20"/>
          <w:lang w:val="es-ES"/>
        </w:rPr>
        <w:t xml:space="preserve"> en </w:t>
      </w:r>
      <w:r w:rsidR="009D70ED" w:rsidRPr="007C243E">
        <w:rPr>
          <w:szCs w:val="20"/>
          <w:lang w:val="es-ES"/>
        </w:rPr>
        <w:t>su</w:t>
      </w:r>
      <w:r w:rsidR="00761C5B" w:rsidRPr="007C243E">
        <w:rPr>
          <w:szCs w:val="20"/>
          <w:lang w:val="es-ES"/>
        </w:rPr>
        <w:t xml:space="preserve"> </w:t>
      </w:r>
      <w:r w:rsidR="009D70ED" w:rsidRPr="007C243E">
        <w:rPr>
          <w:szCs w:val="20"/>
          <w:lang w:val="es-ES"/>
        </w:rPr>
        <w:t>I</w:t>
      </w:r>
      <w:r w:rsidR="00761C5B" w:rsidRPr="007C243E">
        <w:rPr>
          <w:szCs w:val="20"/>
          <w:lang w:val="es-ES"/>
        </w:rPr>
        <w:t xml:space="preserve">nforme de </w:t>
      </w:r>
      <w:r w:rsidR="009D70ED" w:rsidRPr="007C243E">
        <w:rPr>
          <w:szCs w:val="20"/>
          <w:lang w:val="es-ES"/>
        </w:rPr>
        <w:t>F</w:t>
      </w:r>
      <w:r w:rsidR="00761C5B" w:rsidRPr="007C243E">
        <w:rPr>
          <w:szCs w:val="20"/>
          <w:lang w:val="es-ES"/>
        </w:rPr>
        <w:t>ondo</w:t>
      </w:r>
      <w:r w:rsidR="009D70ED" w:rsidRPr="007C243E">
        <w:rPr>
          <w:szCs w:val="20"/>
          <w:lang w:val="es-ES"/>
        </w:rPr>
        <w:t xml:space="preserve"> No. </w:t>
      </w:r>
      <w:hyperlink r:id="rId17" w:history="1">
        <w:r w:rsidR="009D70ED" w:rsidRPr="007C243E">
          <w:rPr>
            <w:rStyle w:val="Hyperlink"/>
            <w:szCs w:val="20"/>
            <w:lang w:val="es-ES"/>
          </w:rPr>
          <w:t>60/18</w:t>
        </w:r>
      </w:hyperlink>
      <w:r w:rsidR="009D70ED" w:rsidRPr="007C243E">
        <w:rPr>
          <w:szCs w:val="20"/>
          <w:lang w:val="es-ES"/>
        </w:rPr>
        <w:t>,</w:t>
      </w:r>
      <w:r w:rsidR="00761C5B" w:rsidRPr="007C243E">
        <w:rPr>
          <w:szCs w:val="20"/>
          <w:lang w:val="es-ES"/>
        </w:rPr>
        <w:t xml:space="preserve"> emitido en el </w:t>
      </w:r>
      <w:r w:rsidR="009D70ED" w:rsidRPr="007C243E">
        <w:rPr>
          <w:szCs w:val="20"/>
          <w:lang w:val="es-ES"/>
        </w:rPr>
        <w:t>C</w:t>
      </w:r>
      <w:r w:rsidR="00761C5B" w:rsidRPr="007C243E">
        <w:rPr>
          <w:szCs w:val="20"/>
          <w:lang w:val="es-ES"/>
        </w:rPr>
        <w:t>aso</w:t>
      </w:r>
      <w:r w:rsidR="009D70ED" w:rsidRPr="007C243E">
        <w:rPr>
          <w:szCs w:val="20"/>
          <w:lang w:val="es-ES"/>
        </w:rPr>
        <w:t xml:space="preserve"> 12.709 Juan Carlos Flores Bedregal.</w:t>
      </w:r>
      <w:r w:rsidR="00EB6CB9" w:rsidRPr="007C243E">
        <w:rPr>
          <w:szCs w:val="20"/>
          <w:lang w:val="es-ES"/>
        </w:rPr>
        <w:t xml:space="preserve"> Al respecto, es de indicar que,</w:t>
      </w:r>
      <w:r w:rsidR="000F4AD1" w:rsidRPr="007C243E">
        <w:rPr>
          <w:szCs w:val="20"/>
          <w:lang w:val="es-ES"/>
        </w:rPr>
        <w:t xml:space="preserve"> </w:t>
      </w:r>
      <w:r w:rsidR="00EB6CB9" w:rsidRPr="007C243E">
        <w:rPr>
          <w:szCs w:val="20"/>
          <w:lang w:val="es-ES"/>
        </w:rPr>
        <w:t>e</w:t>
      </w:r>
      <w:r w:rsidR="006C74F8" w:rsidRPr="007C243E">
        <w:rPr>
          <w:szCs w:val="20"/>
          <w:lang w:val="es-ES"/>
        </w:rPr>
        <w:t xml:space="preserve">n dicho informe, la Comisión </w:t>
      </w:r>
      <w:r w:rsidR="003C57BD" w:rsidRPr="007C243E">
        <w:rPr>
          <w:rFonts w:cs="Calibri"/>
          <w:szCs w:val="20"/>
          <w:lang w:val="es-CO"/>
        </w:rPr>
        <w:t xml:space="preserve">estableció </w:t>
      </w:r>
      <w:r w:rsidR="007D6782" w:rsidRPr="007C243E">
        <w:rPr>
          <w:rFonts w:cs="Calibri"/>
          <w:szCs w:val="20"/>
          <w:lang w:val="es-CO"/>
        </w:rPr>
        <w:t xml:space="preserve">el </w:t>
      </w:r>
      <w:r w:rsidR="007D6782" w:rsidRPr="007C243E">
        <w:rPr>
          <w:szCs w:val="20"/>
          <w:lang w:val="es-AR"/>
        </w:rPr>
        <w:t>señor Flores Bedregal fue víctima de una desaparición forzada, y que</w:t>
      </w:r>
      <w:r w:rsidR="003C57BD" w:rsidRPr="007C243E">
        <w:rPr>
          <w:rFonts w:eastAsia="Calibri"/>
          <w:szCs w:val="20"/>
          <w:lang w:val="es-CO"/>
        </w:rPr>
        <w:t xml:space="preserve"> “</w:t>
      </w:r>
      <w:r w:rsidR="003C57BD" w:rsidRPr="007C243E">
        <w:rPr>
          <w:szCs w:val="20"/>
          <w:lang w:val="es-CO" w:eastAsia="es-ES"/>
        </w:rPr>
        <w:t xml:space="preserve">hasta la fecha no ha existido un esclarecimiento completo de lo sucedido </w:t>
      </w:r>
      <w:r w:rsidR="007D6782" w:rsidRPr="007C243E">
        <w:rPr>
          <w:szCs w:val="20"/>
          <w:lang w:val="es-CO" w:eastAsia="es-ES"/>
        </w:rPr>
        <w:t>[…]</w:t>
      </w:r>
      <w:r w:rsidR="003C57BD" w:rsidRPr="007C243E">
        <w:rPr>
          <w:szCs w:val="20"/>
          <w:lang w:val="es-CO" w:eastAsia="es-ES"/>
        </w:rPr>
        <w:t>, incluyendo el paradero de sus restos mortales, situación que ha obedecido a la activación de múltiples mecanismos de encubrimiento”</w:t>
      </w:r>
      <w:r w:rsidR="003C57BD" w:rsidRPr="007C243E">
        <w:rPr>
          <w:szCs w:val="20"/>
          <w:lang w:val="es-ES" w:eastAsia="es-ES"/>
        </w:rPr>
        <w:t xml:space="preserve">. </w:t>
      </w:r>
    </w:p>
    <w:p w14:paraId="59A4CB5E" w14:textId="77777777" w:rsidR="003C57BD" w:rsidRPr="007C243E" w:rsidRDefault="003C57BD" w:rsidP="00484CAF">
      <w:pPr>
        <w:jc w:val="both"/>
        <w:rPr>
          <w:rFonts w:cs="Calibri"/>
          <w:szCs w:val="20"/>
          <w:lang w:val="es-CO"/>
        </w:rPr>
      </w:pPr>
    </w:p>
    <w:p w14:paraId="671A0722" w14:textId="238643D5" w:rsidR="006C74F8" w:rsidRPr="007C243E" w:rsidRDefault="006C74F8" w:rsidP="00CE20F5">
      <w:pPr>
        <w:pStyle w:val="ListParagraph"/>
        <w:numPr>
          <w:ilvl w:val="0"/>
          <w:numId w:val="9"/>
        </w:numPr>
        <w:tabs>
          <w:tab w:val="clear" w:pos="540"/>
          <w:tab w:val="num" w:pos="720"/>
        </w:tabs>
        <w:ind w:left="0"/>
        <w:jc w:val="both"/>
        <w:rPr>
          <w:rFonts w:cs="Calibri"/>
          <w:szCs w:val="20"/>
          <w:lang w:val="es-CO"/>
        </w:rPr>
      </w:pPr>
      <w:r w:rsidRPr="007C243E">
        <w:rPr>
          <w:rFonts w:cs="Calibri"/>
          <w:szCs w:val="20"/>
          <w:lang w:val="es-CO"/>
        </w:rPr>
        <w:t xml:space="preserve">Por lo anterior, la Comisión </w:t>
      </w:r>
      <w:r w:rsidR="003678FB" w:rsidRPr="007C243E">
        <w:rPr>
          <w:rFonts w:cs="Calibri"/>
          <w:szCs w:val="20"/>
          <w:lang w:val="es-CO"/>
        </w:rPr>
        <w:t>informó a las partes el 4 de noviembre de 2020 que,</w:t>
      </w:r>
      <w:r w:rsidRPr="007C243E">
        <w:rPr>
          <w:rFonts w:cs="Calibri"/>
          <w:szCs w:val="20"/>
          <w:lang w:val="es-CO"/>
        </w:rPr>
        <w:t xml:space="preserve"> </w:t>
      </w:r>
      <w:r w:rsidR="000F4AD1" w:rsidRPr="007C243E">
        <w:rPr>
          <w:rFonts w:cs="Calibri"/>
          <w:szCs w:val="20"/>
          <w:lang w:val="es-CO"/>
        </w:rPr>
        <w:t>dado que el A</w:t>
      </w:r>
      <w:r w:rsidR="0066309F" w:rsidRPr="007C243E">
        <w:rPr>
          <w:rFonts w:cs="Calibri"/>
          <w:szCs w:val="20"/>
          <w:lang w:val="es-CO"/>
        </w:rPr>
        <w:t>SA</w:t>
      </w:r>
      <w:r w:rsidR="00734CB5" w:rsidRPr="007C243E">
        <w:rPr>
          <w:rFonts w:cs="Calibri"/>
          <w:szCs w:val="20"/>
          <w:lang w:val="es-CO"/>
        </w:rPr>
        <w:t xml:space="preserve"> </w:t>
      </w:r>
      <w:r w:rsidR="000F4AD1" w:rsidRPr="007C243E">
        <w:rPr>
          <w:rFonts w:cs="Calibri"/>
          <w:szCs w:val="20"/>
          <w:lang w:val="es-CO"/>
        </w:rPr>
        <w:t>suscrito calificaba los hechos como un “asesinato</w:t>
      </w:r>
      <w:r w:rsidR="003678FB" w:rsidRPr="007C243E">
        <w:rPr>
          <w:rFonts w:cs="Calibri"/>
          <w:szCs w:val="20"/>
          <w:lang w:val="es-CO"/>
        </w:rPr>
        <w:t>”</w:t>
      </w:r>
      <w:r w:rsidR="00E41F5E" w:rsidRPr="007C243E">
        <w:rPr>
          <w:rFonts w:cs="Calibri"/>
          <w:szCs w:val="20"/>
          <w:lang w:val="es-CO"/>
        </w:rPr>
        <w:t>,</w:t>
      </w:r>
      <w:r w:rsidRPr="007C243E">
        <w:rPr>
          <w:rFonts w:cs="Calibri"/>
          <w:szCs w:val="20"/>
          <w:lang w:val="es-CO"/>
        </w:rPr>
        <w:t xml:space="preserve"> no podría emitir un informe de homologación validando un acuerdo de solución amistosa que no </w:t>
      </w:r>
      <w:r w:rsidR="000F4AD1" w:rsidRPr="007C243E">
        <w:rPr>
          <w:rFonts w:cs="Calibri"/>
          <w:szCs w:val="20"/>
          <w:lang w:val="es-CO"/>
        </w:rPr>
        <w:t>reconociera</w:t>
      </w:r>
      <w:r w:rsidRPr="007C243E">
        <w:rPr>
          <w:rFonts w:cs="Calibri"/>
          <w:szCs w:val="20"/>
          <w:lang w:val="es-CO"/>
        </w:rPr>
        <w:t xml:space="preserve"> los elementos constitutivos de las violaciones de los derechos humanos declaradas en el </w:t>
      </w:r>
      <w:r w:rsidRPr="007C243E">
        <w:rPr>
          <w:rFonts w:cs="Calibri"/>
          <w:i/>
          <w:szCs w:val="20"/>
          <w:lang w:val="es-CO"/>
        </w:rPr>
        <w:t>Caso</w:t>
      </w:r>
      <w:r w:rsidR="007D6782" w:rsidRPr="007C243E">
        <w:rPr>
          <w:rFonts w:cs="Calibri"/>
          <w:i/>
          <w:szCs w:val="20"/>
          <w:lang w:val="es-CO"/>
        </w:rPr>
        <w:t xml:space="preserve"> </w:t>
      </w:r>
      <w:r w:rsidR="00484CAF" w:rsidRPr="007C243E">
        <w:rPr>
          <w:rFonts w:cs="Calibri"/>
          <w:i/>
          <w:szCs w:val="20"/>
          <w:lang w:val="es-CO"/>
        </w:rPr>
        <w:t>12.709 Juan</w:t>
      </w:r>
      <w:r w:rsidRPr="007C243E">
        <w:rPr>
          <w:rFonts w:cs="Calibri"/>
          <w:i/>
          <w:szCs w:val="20"/>
          <w:lang w:val="es-CO"/>
        </w:rPr>
        <w:t xml:space="preserve"> Flores Bedregal</w:t>
      </w:r>
      <w:r w:rsidRPr="007C243E">
        <w:rPr>
          <w:rFonts w:cs="Calibri"/>
          <w:szCs w:val="20"/>
          <w:lang w:val="es-CO"/>
        </w:rPr>
        <w:t xml:space="preserve">, y que se refieren a una desaparición forzada y a las falencias en la investigación. </w:t>
      </w:r>
      <w:r w:rsidR="009B1D10" w:rsidRPr="007C243E">
        <w:rPr>
          <w:rFonts w:cs="Calibri"/>
          <w:szCs w:val="20"/>
          <w:lang w:val="es-CO"/>
        </w:rPr>
        <w:t xml:space="preserve">En el mismo sentido, la Comisión informó a las partes que </w:t>
      </w:r>
      <w:r w:rsidR="00F05F63" w:rsidRPr="007C243E">
        <w:rPr>
          <w:rFonts w:cs="Calibri"/>
          <w:szCs w:val="20"/>
          <w:lang w:val="es-CO"/>
        </w:rPr>
        <w:t xml:space="preserve">tampoco </w:t>
      </w:r>
      <w:r w:rsidRPr="007C243E">
        <w:rPr>
          <w:rFonts w:cs="Calibri"/>
          <w:szCs w:val="20"/>
          <w:lang w:val="es-CO"/>
        </w:rPr>
        <w:t xml:space="preserve">podría validar, el que las partes </w:t>
      </w:r>
      <w:r w:rsidR="009B1D10" w:rsidRPr="007C243E">
        <w:rPr>
          <w:rFonts w:cs="Calibri"/>
          <w:szCs w:val="20"/>
          <w:lang w:val="es-CO"/>
        </w:rPr>
        <w:t>acordaran en un ASA</w:t>
      </w:r>
      <w:r w:rsidRPr="007C243E">
        <w:rPr>
          <w:rFonts w:cs="Calibri"/>
          <w:szCs w:val="20"/>
          <w:lang w:val="es-CO"/>
        </w:rPr>
        <w:t xml:space="preserve"> que el Estado ha cumplido con su deber de investigar, cuando a la fecha, el paradero de la víctima o de sus restos, y la verdad material de los hechos no han sido esclarecidos, ni tampoco se ha juzgado a los responsables del delito de desaparición forzada.</w:t>
      </w:r>
    </w:p>
    <w:p w14:paraId="3217D7A0" w14:textId="77777777" w:rsidR="006C74F8" w:rsidRPr="007C243E" w:rsidRDefault="006C74F8" w:rsidP="00CE20F5">
      <w:pPr>
        <w:pStyle w:val="ListParagraph"/>
        <w:tabs>
          <w:tab w:val="num" w:pos="720"/>
        </w:tabs>
        <w:ind w:left="0" w:firstLine="720"/>
        <w:rPr>
          <w:szCs w:val="20"/>
          <w:lang w:val="es-ES"/>
        </w:rPr>
      </w:pPr>
    </w:p>
    <w:p w14:paraId="5686DDCE" w14:textId="236438BF" w:rsidR="009B1D10" w:rsidRPr="007C243E" w:rsidRDefault="009B1D10" w:rsidP="00CE20F5">
      <w:pPr>
        <w:pStyle w:val="ListParagraph"/>
        <w:numPr>
          <w:ilvl w:val="0"/>
          <w:numId w:val="9"/>
        </w:numPr>
        <w:tabs>
          <w:tab w:val="clear" w:pos="540"/>
          <w:tab w:val="num" w:pos="720"/>
        </w:tabs>
        <w:ind w:left="0"/>
        <w:jc w:val="both"/>
        <w:rPr>
          <w:rFonts w:cs="Calibri"/>
          <w:szCs w:val="20"/>
          <w:lang w:val="es-CO"/>
        </w:rPr>
      </w:pPr>
      <w:r w:rsidRPr="007C243E">
        <w:rPr>
          <w:rFonts w:cs="Calibri"/>
          <w:szCs w:val="20"/>
          <w:lang w:val="es-CO"/>
        </w:rPr>
        <w:t xml:space="preserve">Al respecto, el 17 de marzo de 2021, el Estado remitió un segundo borrador </w:t>
      </w:r>
      <w:r w:rsidR="00734CB5" w:rsidRPr="007C243E">
        <w:rPr>
          <w:rFonts w:cs="Calibri"/>
          <w:szCs w:val="20"/>
          <w:lang w:val="es-CO"/>
        </w:rPr>
        <w:t>de acuerdo</w:t>
      </w:r>
      <w:r w:rsidRPr="007C243E">
        <w:rPr>
          <w:rFonts w:cs="Calibri"/>
          <w:szCs w:val="20"/>
          <w:lang w:val="es-CO"/>
        </w:rPr>
        <w:t xml:space="preserve"> que la Comisión tampoco consideró homologable, por lo cual, el 5 de mayo de 2021, se reiteró la imposibilidad de homologación del ASA a las partes y la necesidad de su enmienda. </w:t>
      </w:r>
    </w:p>
    <w:p w14:paraId="0EF81EC0" w14:textId="77777777" w:rsidR="009B1D10" w:rsidRPr="007C243E" w:rsidRDefault="009B1D10" w:rsidP="00CE20F5">
      <w:pPr>
        <w:pStyle w:val="ListParagraph"/>
        <w:tabs>
          <w:tab w:val="num" w:pos="720"/>
        </w:tabs>
        <w:ind w:left="0" w:firstLine="720"/>
        <w:rPr>
          <w:rFonts w:cs="Calibri"/>
          <w:szCs w:val="20"/>
          <w:lang w:val="es-CO"/>
        </w:rPr>
      </w:pPr>
    </w:p>
    <w:p w14:paraId="5C8B42F3" w14:textId="77777777" w:rsidR="00B71BA3" w:rsidRPr="00B71BA3" w:rsidRDefault="009B1D10" w:rsidP="00CB4225">
      <w:pPr>
        <w:pStyle w:val="ListParagraph"/>
        <w:numPr>
          <w:ilvl w:val="0"/>
          <w:numId w:val="9"/>
        </w:numPr>
        <w:tabs>
          <w:tab w:val="clear" w:pos="540"/>
          <w:tab w:val="num" w:pos="720"/>
        </w:tabs>
        <w:ind w:left="0"/>
        <w:jc w:val="both"/>
        <w:rPr>
          <w:lang w:val="es-CO"/>
        </w:rPr>
      </w:pPr>
      <w:r w:rsidRPr="007C243E">
        <w:rPr>
          <w:rFonts w:cs="Calibri"/>
          <w:szCs w:val="20"/>
          <w:lang w:val="es-CO"/>
        </w:rPr>
        <w:t xml:space="preserve">El 9 de julio de 2021, las partes suscribieron una nueva versión de acuerdo de solución amistosa, en el cual decidieron mantener el marco fáctico del </w:t>
      </w:r>
      <w:r w:rsidR="00F05F63" w:rsidRPr="007C243E">
        <w:rPr>
          <w:rFonts w:cs="Calibri"/>
          <w:szCs w:val="20"/>
          <w:lang w:val="es-CO"/>
        </w:rPr>
        <w:t>“</w:t>
      </w:r>
      <w:r w:rsidRPr="007C243E">
        <w:rPr>
          <w:rFonts w:cs="Calibri"/>
          <w:szCs w:val="20"/>
          <w:lang w:val="es-CO"/>
        </w:rPr>
        <w:t>fallecimiento</w:t>
      </w:r>
      <w:r w:rsidR="00F05F63" w:rsidRPr="007C243E">
        <w:rPr>
          <w:rFonts w:cs="Calibri"/>
          <w:szCs w:val="20"/>
          <w:lang w:val="es-CO"/>
        </w:rPr>
        <w:t>”</w:t>
      </w:r>
      <w:r w:rsidRPr="007C243E">
        <w:rPr>
          <w:rFonts w:cs="Calibri"/>
          <w:szCs w:val="20"/>
          <w:lang w:val="es-CO"/>
        </w:rPr>
        <w:t xml:space="preserve"> del diputado Flores Bedregal e incluir una cláusula de desistimiento de la parte peticionaria una vez se cumplieran las medidas acordadas</w:t>
      </w:r>
      <w:r w:rsidR="00734CB5" w:rsidRPr="007C243E">
        <w:rPr>
          <w:rStyle w:val="FootnoteReference"/>
          <w:rFonts w:cs="Calibri"/>
          <w:szCs w:val="20"/>
          <w:lang w:val="es-CO"/>
        </w:rPr>
        <w:footnoteReference w:id="2"/>
      </w:r>
      <w:r w:rsidRPr="007C243E">
        <w:rPr>
          <w:rFonts w:cs="Calibri"/>
          <w:szCs w:val="20"/>
          <w:lang w:val="es-CO"/>
        </w:rPr>
        <w:t>.</w:t>
      </w:r>
      <w:r w:rsidR="00734CB5" w:rsidRPr="007C243E">
        <w:rPr>
          <w:szCs w:val="20"/>
          <w:lang w:val="es-ES"/>
        </w:rPr>
        <w:t xml:space="preserve"> </w:t>
      </w:r>
      <w:r w:rsidR="00E40D91" w:rsidRPr="007C243E">
        <w:rPr>
          <w:szCs w:val="20"/>
          <w:lang w:val="es-ES"/>
        </w:rPr>
        <w:t>Lo anterior, e</w:t>
      </w:r>
      <w:r w:rsidR="00734CB5" w:rsidRPr="007C243E">
        <w:rPr>
          <w:szCs w:val="20"/>
          <w:lang w:val="es-ES"/>
        </w:rPr>
        <w:t>n el entendido de que dicho acuerdo no podría ser homologado</w:t>
      </w:r>
      <w:r w:rsidR="00CB6367" w:rsidRPr="007C243E">
        <w:rPr>
          <w:szCs w:val="20"/>
          <w:lang w:val="es-ES"/>
        </w:rPr>
        <w:t xml:space="preserve"> y la CIDH no podría participar en ningún acto relacionado con dicho acuerdo</w:t>
      </w:r>
      <w:r w:rsidR="00E41F5E" w:rsidRPr="007C243E">
        <w:rPr>
          <w:szCs w:val="20"/>
          <w:lang w:val="es-ES"/>
        </w:rPr>
        <w:t>,</w:t>
      </w:r>
      <w:r w:rsidR="00CB6367" w:rsidRPr="007C243E">
        <w:rPr>
          <w:szCs w:val="20"/>
          <w:lang w:val="es-ES"/>
        </w:rPr>
        <w:t xml:space="preserve"> en vista de la incompatibilidad con las determinaciones del informe de fondo del </w:t>
      </w:r>
      <w:r w:rsidR="00D42336" w:rsidRPr="007C243E">
        <w:rPr>
          <w:i/>
          <w:iCs/>
          <w:szCs w:val="20"/>
          <w:lang w:val="es-ES"/>
        </w:rPr>
        <w:t>C</w:t>
      </w:r>
      <w:r w:rsidR="00CB6367" w:rsidRPr="007C243E">
        <w:rPr>
          <w:i/>
          <w:iCs/>
          <w:szCs w:val="20"/>
          <w:lang w:val="es-ES"/>
        </w:rPr>
        <w:t>aso</w:t>
      </w:r>
      <w:r w:rsidR="00CB6367" w:rsidRPr="007C243E">
        <w:rPr>
          <w:i/>
          <w:iCs/>
          <w:szCs w:val="20"/>
          <w:lang w:val="es-ES" w:eastAsia="es-ES"/>
        </w:rPr>
        <w:t xml:space="preserve"> N</w:t>
      </w:r>
      <w:r w:rsidR="00D42336" w:rsidRPr="007C243E">
        <w:rPr>
          <w:i/>
          <w:iCs/>
          <w:szCs w:val="20"/>
          <w:lang w:val="es-ES" w:eastAsia="es-ES"/>
        </w:rPr>
        <w:t>o.</w:t>
      </w:r>
      <w:r w:rsidR="00CB6367" w:rsidRPr="007C243E">
        <w:rPr>
          <w:i/>
          <w:iCs/>
          <w:szCs w:val="20"/>
          <w:lang w:val="es-ES" w:eastAsia="es-ES"/>
        </w:rPr>
        <w:t xml:space="preserve"> 12.709</w:t>
      </w:r>
      <w:r w:rsidR="00E41F5E" w:rsidRPr="007C243E">
        <w:rPr>
          <w:szCs w:val="20"/>
          <w:lang w:val="es-ES"/>
        </w:rPr>
        <w:t>.</w:t>
      </w:r>
      <w:r w:rsidR="00CB4225">
        <w:rPr>
          <w:szCs w:val="20"/>
          <w:lang w:val="es-ES"/>
        </w:rPr>
        <w:t xml:space="preserve"> </w:t>
      </w:r>
    </w:p>
    <w:p w14:paraId="659450B2" w14:textId="77777777" w:rsidR="00B71BA3" w:rsidRPr="00B71BA3" w:rsidRDefault="00B71BA3" w:rsidP="00B71BA3">
      <w:pPr>
        <w:pStyle w:val="ListParagraph"/>
        <w:rPr>
          <w:lang w:val="es-CO"/>
        </w:rPr>
      </w:pPr>
    </w:p>
    <w:p w14:paraId="7F9ADFC6" w14:textId="4DD0C10F" w:rsidR="003F60F7" w:rsidRPr="00CB4225" w:rsidRDefault="00D42336" w:rsidP="00CB4225">
      <w:pPr>
        <w:pStyle w:val="ListParagraph"/>
        <w:numPr>
          <w:ilvl w:val="0"/>
          <w:numId w:val="9"/>
        </w:numPr>
        <w:tabs>
          <w:tab w:val="clear" w:pos="540"/>
          <w:tab w:val="num" w:pos="720"/>
        </w:tabs>
        <w:ind w:left="0"/>
        <w:jc w:val="both"/>
        <w:rPr>
          <w:lang w:val="es-CO"/>
        </w:rPr>
      </w:pPr>
      <w:r w:rsidRPr="00CB4225">
        <w:rPr>
          <w:lang w:val="es-CO"/>
        </w:rPr>
        <w:lastRenderedPageBreak/>
        <w:t>D</w:t>
      </w:r>
      <w:r w:rsidR="00734CB5" w:rsidRPr="00CB4225">
        <w:rPr>
          <w:lang w:val="es-CO"/>
        </w:rPr>
        <w:t>urante inicios de</w:t>
      </w:r>
      <w:r w:rsidR="009B1D10" w:rsidRPr="00CB4225">
        <w:rPr>
          <w:lang w:val="es-CO"/>
        </w:rPr>
        <w:t xml:space="preserve"> 2022, </w:t>
      </w:r>
      <w:r w:rsidR="00734CB5" w:rsidRPr="00CB4225">
        <w:rPr>
          <w:lang w:val="es-CO"/>
        </w:rPr>
        <w:t>tras solicitud de las partes,</w:t>
      </w:r>
      <w:r w:rsidR="00F715C2">
        <w:rPr>
          <w:lang w:val="es-CO"/>
        </w:rPr>
        <w:t xml:space="preserve"> el</w:t>
      </w:r>
      <w:r w:rsidR="00734CB5" w:rsidRPr="00CB4225">
        <w:rPr>
          <w:lang w:val="es-CO"/>
        </w:rPr>
        <w:t xml:space="preserve"> </w:t>
      </w:r>
      <w:r w:rsidR="00EC0A64" w:rsidRPr="00CB4225">
        <w:rPr>
          <w:lang w:val="es-CO"/>
        </w:rPr>
        <w:t>equipo técnico</w:t>
      </w:r>
      <w:r w:rsidR="00734CB5" w:rsidRPr="00CB4225">
        <w:rPr>
          <w:lang w:val="es-CO"/>
        </w:rPr>
        <w:t xml:space="preserve"> de la Secretaría </w:t>
      </w:r>
      <w:r w:rsidR="00F715C2" w:rsidRPr="00CB4225">
        <w:rPr>
          <w:lang w:val="es-CO"/>
        </w:rPr>
        <w:t>Ejecutiva</w:t>
      </w:r>
      <w:r w:rsidR="00EC0A64" w:rsidRPr="00CB4225">
        <w:rPr>
          <w:lang w:val="es-CO"/>
        </w:rPr>
        <w:t xml:space="preserve"> </w:t>
      </w:r>
      <w:r w:rsidR="009B1D10" w:rsidRPr="00CB4225">
        <w:rPr>
          <w:lang w:val="es-CO"/>
        </w:rPr>
        <w:t xml:space="preserve">hizo seguimiento </w:t>
      </w:r>
      <w:r w:rsidR="00734CB5" w:rsidRPr="00CB4225">
        <w:rPr>
          <w:lang w:val="es-CO"/>
        </w:rPr>
        <w:t>a la ruta acordara por las partes para el</w:t>
      </w:r>
      <w:r w:rsidR="009B1D10" w:rsidRPr="00CB4225">
        <w:rPr>
          <w:lang w:val="es-CO"/>
        </w:rPr>
        <w:t xml:space="preserve"> desistimiento</w:t>
      </w:r>
      <w:r w:rsidR="00FF2326">
        <w:rPr>
          <w:lang w:val="es-CO"/>
        </w:rPr>
        <w:t>, en el entendido de que el acuerdo entre las partes no podría ser homologado por la Comisión</w:t>
      </w:r>
      <w:r w:rsidR="009B1D10" w:rsidRPr="00CB4225">
        <w:rPr>
          <w:lang w:val="es-CO"/>
        </w:rPr>
        <w:t xml:space="preserve">. </w:t>
      </w:r>
    </w:p>
    <w:p w14:paraId="7387B785" w14:textId="77777777" w:rsidR="003F60F7" w:rsidRPr="007C243E" w:rsidRDefault="003F60F7" w:rsidP="003F60F7">
      <w:pPr>
        <w:pStyle w:val="ListParagraph"/>
        <w:rPr>
          <w:rFonts w:cs="Calibri"/>
          <w:szCs w:val="20"/>
          <w:lang w:val="es-CO"/>
        </w:rPr>
      </w:pPr>
    </w:p>
    <w:p w14:paraId="42202EEA" w14:textId="17D56CD2" w:rsidR="00843804" w:rsidRPr="007C243E" w:rsidRDefault="006A4D1B" w:rsidP="00E40D91">
      <w:pPr>
        <w:pStyle w:val="ListParagraph"/>
        <w:numPr>
          <w:ilvl w:val="0"/>
          <w:numId w:val="9"/>
        </w:numPr>
        <w:jc w:val="both"/>
        <w:rPr>
          <w:szCs w:val="20"/>
          <w:lang w:val="es-ES"/>
        </w:rPr>
      </w:pPr>
      <w:r w:rsidRPr="007C243E">
        <w:rPr>
          <w:rFonts w:cs="Calibri"/>
          <w:szCs w:val="20"/>
          <w:lang w:val="es-CO"/>
        </w:rPr>
        <w:t xml:space="preserve">El </w:t>
      </w:r>
      <w:r w:rsidR="00E52940" w:rsidRPr="007C243E">
        <w:rPr>
          <w:rFonts w:cs="Calibri"/>
          <w:szCs w:val="20"/>
          <w:lang w:val="es-CO"/>
        </w:rPr>
        <w:t xml:space="preserve">23 y </w:t>
      </w:r>
      <w:r w:rsidRPr="007C243E">
        <w:rPr>
          <w:rFonts w:cs="Calibri"/>
          <w:szCs w:val="20"/>
          <w:lang w:val="es-CO"/>
        </w:rPr>
        <w:t xml:space="preserve">25 de abril de 2022, la parte peticionaria </w:t>
      </w:r>
      <w:r w:rsidR="00E52940" w:rsidRPr="007C243E">
        <w:rPr>
          <w:rFonts w:cs="Calibri"/>
          <w:szCs w:val="20"/>
          <w:lang w:val="es-CO"/>
        </w:rPr>
        <w:t xml:space="preserve">remitió comunicaciones desistiendo </w:t>
      </w:r>
      <w:r w:rsidR="003678FB" w:rsidRPr="007C243E">
        <w:rPr>
          <w:rFonts w:cs="Calibri"/>
          <w:szCs w:val="20"/>
          <w:lang w:val="es-CO"/>
        </w:rPr>
        <w:t>de continuar</w:t>
      </w:r>
      <w:r w:rsidRPr="007C243E">
        <w:rPr>
          <w:rFonts w:cs="Calibri"/>
          <w:szCs w:val="20"/>
          <w:lang w:val="es-CO"/>
        </w:rPr>
        <w:t xml:space="preserve"> con el trámite del asunto y posteriormente, e</w:t>
      </w:r>
      <w:r w:rsidR="009B1D10" w:rsidRPr="007C243E">
        <w:rPr>
          <w:rFonts w:cs="Calibri"/>
          <w:szCs w:val="20"/>
          <w:lang w:val="es-CO"/>
        </w:rPr>
        <w:t xml:space="preserve">l </w:t>
      </w:r>
      <w:r w:rsidR="004A490E" w:rsidRPr="007C243E">
        <w:rPr>
          <w:rFonts w:cs="Calibri"/>
          <w:szCs w:val="20"/>
          <w:lang w:val="es-CO"/>
        </w:rPr>
        <w:t>11 de mayo de 2022, las partes presentaron un informe conjunto en el cual manifestaron a la Comisión su entendimiento de que el acuerdo de solución amistosa había sido satisfecho en su integralidad</w:t>
      </w:r>
      <w:r w:rsidRPr="007C243E">
        <w:rPr>
          <w:rFonts w:cs="Calibri"/>
          <w:szCs w:val="20"/>
          <w:lang w:val="es-CO"/>
        </w:rPr>
        <w:t xml:space="preserve">, solicitando a la </w:t>
      </w:r>
      <w:r w:rsidR="007A3A4A" w:rsidRPr="007C243E">
        <w:rPr>
          <w:rFonts w:cs="Calibri"/>
          <w:szCs w:val="20"/>
          <w:lang w:val="es-CO"/>
        </w:rPr>
        <w:t xml:space="preserve">Comisión </w:t>
      </w:r>
      <w:r w:rsidRPr="007C243E">
        <w:rPr>
          <w:rFonts w:cs="Calibri"/>
          <w:szCs w:val="20"/>
          <w:lang w:val="es-CO"/>
        </w:rPr>
        <w:t>tomar en cuenta el desistimiento remitido por la parte peticionaria</w:t>
      </w:r>
      <w:r w:rsidR="004A490E" w:rsidRPr="007C243E">
        <w:rPr>
          <w:rFonts w:cs="Calibri"/>
          <w:szCs w:val="20"/>
          <w:lang w:val="es-CO"/>
        </w:rPr>
        <w:t xml:space="preserve">. </w:t>
      </w:r>
    </w:p>
    <w:p w14:paraId="0BEBC140" w14:textId="77777777" w:rsidR="00E40D91" w:rsidRPr="007C243E" w:rsidRDefault="00E40D91" w:rsidP="00E40D91">
      <w:pPr>
        <w:tabs>
          <w:tab w:val="num" w:pos="720"/>
        </w:tabs>
        <w:jc w:val="both"/>
        <w:rPr>
          <w:rFonts w:cs="Tahoma"/>
          <w:szCs w:val="20"/>
          <w:lang w:val="es-ES" w:eastAsia="es-ES"/>
        </w:rPr>
      </w:pPr>
    </w:p>
    <w:p w14:paraId="0383359E" w14:textId="77777777" w:rsidR="00811B56" w:rsidRPr="007C243E" w:rsidRDefault="00811B56" w:rsidP="00CE20F5">
      <w:pPr>
        <w:numPr>
          <w:ilvl w:val="0"/>
          <w:numId w:val="14"/>
        </w:numPr>
        <w:tabs>
          <w:tab w:val="num" w:pos="720"/>
        </w:tabs>
        <w:ind w:left="0" w:firstLine="720"/>
        <w:jc w:val="both"/>
        <w:rPr>
          <w:b/>
          <w:szCs w:val="20"/>
          <w:lang w:val="es-ES" w:eastAsia="es-ES"/>
        </w:rPr>
      </w:pPr>
      <w:r w:rsidRPr="007C243E">
        <w:rPr>
          <w:b/>
          <w:szCs w:val="20"/>
          <w:lang w:val="es-ES" w:eastAsia="es-ES"/>
        </w:rPr>
        <w:t>FUNDAMENTOS PARA LA DECISIÓN DE ARCHIVO</w:t>
      </w:r>
    </w:p>
    <w:p w14:paraId="5BAC9057" w14:textId="77777777" w:rsidR="00811B56" w:rsidRPr="007C243E" w:rsidRDefault="00811B56" w:rsidP="00CE20F5">
      <w:pPr>
        <w:tabs>
          <w:tab w:val="num" w:pos="720"/>
        </w:tabs>
        <w:ind w:firstLine="720"/>
        <w:jc w:val="both"/>
        <w:rPr>
          <w:szCs w:val="20"/>
          <w:lang w:val="es-ES" w:eastAsia="es-ES"/>
        </w:rPr>
      </w:pPr>
    </w:p>
    <w:p w14:paraId="70B0691A" w14:textId="52C3ECAD" w:rsidR="003B59DF" w:rsidRPr="007C243E" w:rsidRDefault="00CB6367" w:rsidP="00CE20F5">
      <w:pPr>
        <w:pStyle w:val="ListParagraph"/>
        <w:numPr>
          <w:ilvl w:val="0"/>
          <w:numId w:val="9"/>
        </w:numPr>
        <w:tabs>
          <w:tab w:val="clear" w:pos="540"/>
          <w:tab w:val="num" w:pos="720"/>
        </w:tabs>
        <w:ind w:left="0"/>
        <w:jc w:val="both"/>
        <w:rPr>
          <w:rFonts w:cs="Arial"/>
          <w:noProof/>
          <w:spacing w:val="-2"/>
          <w:szCs w:val="20"/>
          <w:lang w:val="es-ES"/>
        </w:rPr>
      </w:pPr>
      <w:r w:rsidRPr="007C243E">
        <w:rPr>
          <w:szCs w:val="20"/>
          <w:lang w:val="es-ES" w:eastAsia="es-ES"/>
        </w:rPr>
        <w:t xml:space="preserve">El </w:t>
      </w:r>
      <w:r w:rsidR="00210AC7" w:rsidRPr="007C243E">
        <w:rPr>
          <w:szCs w:val="20"/>
          <w:lang w:val="es-ES" w:eastAsia="es-ES"/>
        </w:rPr>
        <w:t xml:space="preserve">artículo </w:t>
      </w:r>
      <w:r w:rsidR="003B59DF" w:rsidRPr="007C243E">
        <w:rPr>
          <w:szCs w:val="20"/>
          <w:lang w:val="es-ES" w:eastAsia="es-ES"/>
        </w:rPr>
        <w:t>41</w:t>
      </w:r>
      <w:r w:rsidR="00210AC7" w:rsidRPr="007C243E">
        <w:rPr>
          <w:szCs w:val="20"/>
          <w:lang w:val="es-ES" w:eastAsia="es-ES"/>
        </w:rPr>
        <w:t xml:space="preserve"> del Reglamento </w:t>
      </w:r>
      <w:r w:rsidR="003B59DF" w:rsidRPr="007C243E">
        <w:rPr>
          <w:szCs w:val="20"/>
          <w:lang w:val="es-ES" w:eastAsia="es-ES"/>
        </w:rPr>
        <w:t xml:space="preserve">de la Comisión </w:t>
      </w:r>
      <w:r w:rsidR="00210AC7" w:rsidRPr="007C243E">
        <w:rPr>
          <w:szCs w:val="20"/>
          <w:lang w:val="es-ES" w:eastAsia="es-ES"/>
        </w:rPr>
        <w:t xml:space="preserve">dispone que </w:t>
      </w:r>
      <w:r w:rsidR="003B59DF" w:rsidRPr="007C243E">
        <w:rPr>
          <w:szCs w:val="20"/>
          <w:lang w:val="es-ES" w:eastAsia="es-ES"/>
        </w:rPr>
        <w:t>e</w:t>
      </w:r>
      <w:r w:rsidR="003B59DF" w:rsidRPr="007C243E">
        <w:rPr>
          <w:rFonts w:cs="Tahoma"/>
          <w:szCs w:val="20"/>
          <w:shd w:val="clear" w:color="auto" w:fill="FFFFFF"/>
          <w:lang w:val="es-CO"/>
        </w:rPr>
        <w:t>l peticionario podrá desistir en cualquier momento de su petición o caso, a cuyo efecto deberá manifestarlo por escrito a la Comisión. La manifestación del peticionario será analizada por la Comisión, que podrá archivar la petición o caso si lo estima procedente, o podrá proseguir el trámite en interés de proteger un derecho determinado.</w:t>
      </w:r>
    </w:p>
    <w:p w14:paraId="5943B9FE" w14:textId="77777777" w:rsidR="00A61EF1" w:rsidRPr="007C243E" w:rsidRDefault="00A61EF1" w:rsidP="00AD2DAD">
      <w:pPr>
        <w:pStyle w:val="ListParagraph"/>
        <w:jc w:val="both"/>
        <w:rPr>
          <w:rFonts w:cs="Arial"/>
          <w:noProof/>
          <w:spacing w:val="-2"/>
          <w:szCs w:val="20"/>
          <w:lang w:val="es-ES"/>
        </w:rPr>
      </w:pPr>
    </w:p>
    <w:p w14:paraId="51A30103" w14:textId="1BB2FA8D" w:rsidR="001E1BAB" w:rsidRPr="007C243E" w:rsidRDefault="00A61EF1" w:rsidP="001E1BAB">
      <w:pPr>
        <w:pStyle w:val="ListParagraph"/>
        <w:numPr>
          <w:ilvl w:val="0"/>
          <w:numId w:val="9"/>
        </w:numPr>
        <w:jc w:val="both"/>
        <w:rPr>
          <w:lang w:val="es-ES" w:eastAsia="es-ES"/>
        </w:rPr>
      </w:pPr>
      <w:r w:rsidRPr="007C243E">
        <w:rPr>
          <w:noProof/>
          <w:lang w:val="es-ES"/>
        </w:rPr>
        <w:t xml:space="preserve">En relación con lo ocurrido a Juan Carlos Bedregal, la Comisión reitera </w:t>
      </w:r>
      <w:r w:rsidRPr="007C243E">
        <w:rPr>
          <w:szCs w:val="20"/>
          <w:lang w:val="es-ES"/>
        </w:rPr>
        <w:t xml:space="preserve">las conclusiones de su informe de Fondo No. </w:t>
      </w:r>
      <w:hyperlink r:id="rId18" w:history="1">
        <w:r w:rsidRPr="007C243E">
          <w:rPr>
            <w:rStyle w:val="Hyperlink"/>
            <w:szCs w:val="20"/>
            <w:lang w:val="es-ES"/>
          </w:rPr>
          <w:t>60/18</w:t>
        </w:r>
      </w:hyperlink>
      <w:r w:rsidRPr="007C243E">
        <w:rPr>
          <w:szCs w:val="20"/>
          <w:lang w:val="es-ES"/>
        </w:rPr>
        <w:t xml:space="preserve">, en cuanto a que </w:t>
      </w:r>
      <w:r w:rsidRPr="007C243E">
        <w:rPr>
          <w:szCs w:val="20"/>
          <w:lang w:val="es-AR"/>
        </w:rPr>
        <w:t>fue víctima de una desaparición forzada, y que</w:t>
      </w:r>
      <w:r w:rsidRPr="007C243E">
        <w:rPr>
          <w:rFonts w:eastAsia="Calibri"/>
          <w:szCs w:val="20"/>
          <w:lang w:val="es-CO"/>
        </w:rPr>
        <w:t xml:space="preserve"> “</w:t>
      </w:r>
      <w:r w:rsidRPr="007C243E">
        <w:rPr>
          <w:szCs w:val="20"/>
          <w:lang w:val="es-CO" w:eastAsia="es-ES"/>
        </w:rPr>
        <w:t xml:space="preserve">hasta la fecha no ha existido un esclarecimiento”.  La Comisión ha enviado dicho caso a la Corte Interamericana que, a la fecha se encuentra pendiente de una sentencia. </w:t>
      </w:r>
      <w:r w:rsidR="001E1BAB" w:rsidRPr="007C243E">
        <w:rPr>
          <w:szCs w:val="20"/>
          <w:lang w:val="es-CO" w:eastAsia="es-ES"/>
        </w:rPr>
        <w:t xml:space="preserve">En el trámite de dicho caso, la Comisión ha solicitado a la Corte, entre otros </w:t>
      </w:r>
      <w:r w:rsidR="00AD2DAD" w:rsidRPr="007C243E">
        <w:rPr>
          <w:szCs w:val="20"/>
          <w:lang w:val="es-CO" w:eastAsia="es-ES"/>
        </w:rPr>
        <w:t>aspectos, al</w:t>
      </w:r>
      <w:r w:rsidR="001E1BAB" w:rsidRPr="007C243E">
        <w:rPr>
          <w:lang w:val="es-ES_tradnl"/>
        </w:rPr>
        <w:t xml:space="preserve"> momento de ordenar las reparaciones pertinentes, se ordene al Estado la adopción de medidas que permitan públicamente y en la sociedad boliviana conocer la verdad de lo ocurrido, y sea reconocido que la víctima sufrió una desaparición forzada con los efectos que continúan hasta el presente. </w:t>
      </w:r>
    </w:p>
    <w:p w14:paraId="099FC7C0" w14:textId="77777777" w:rsidR="00A61EF1" w:rsidRPr="007C243E" w:rsidRDefault="00A61EF1" w:rsidP="00AD2DAD">
      <w:pPr>
        <w:pStyle w:val="ListParagraph"/>
        <w:rPr>
          <w:lang w:val="es-ES" w:eastAsia="es-ES"/>
        </w:rPr>
      </w:pPr>
    </w:p>
    <w:p w14:paraId="0FC18309" w14:textId="1D88D908" w:rsidR="00465257" w:rsidRDefault="00A61EF1" w:rsidP="00D42336">
      <w:pPr>
        <w:pStyle w:val="ListParagraph"/>
        <w:numPr>
          <w:ilvl w:val="0"/>
          <w:numId w:val="9"/>
        </w:numPr>
        <w:jc w:val="both"/>
        <w:rPr>
          <w:lang w:val="es-ES" w:eastAsia="es-ES"/>
        </w:rPr>
      </w:pPr>
      <w:r w:rsidRPr="007C243E">
        <w:rPr>
          <w:lang w:val="es-ES" w:eastAsia="es-ES"/>
        </w:rPr>
        <w:t>En lo referente a la petición materia del presente asunto,</w:t>
      </w:r>
      <w:r w:rsidRPr="007C243E">
        <w:rPr>
          <w:noProof/>
          <w:lang w:val="es-ES"/>
        </w:rPr>
        <w:t xml:space="preserve"> habiéndose verificado el desistimiento de la parte peticionaria y la existencia de un acuerdo de solucion amistosa que no resultó susceptible de ser homologado de acuerdo con la Convención Americana y el Reglamento</w:t>
      </w:r>
      <w:r w:rsidRPr="007C243E">
        <w:rPr>
          <w:rStyle w:val="FootnoteReference"/>
          <w:rFonts w:cs="Arial"/>
          <w:noProof/>
          <w:spacing w:val="-2"/>
          <w:szCs w:val="20"/>
          <w:lang w:val="es-ES"/>
        </w:rPr>
        <w:footnoteReference w:id="3"/>
      </w:r>
      <w:r w:rsidR="00F715C2">
        <w:rPr>
          <w:noProof/>
          <w:lang w:val="es-ES"/>
        </w:rPr>
        <w:t xml:space="preserve"> la Comision decide emitir este informe y archivar la petición</w:t>
      </w:r>
      <w:r w:rsidR="00465257">
        <w:rPr>
          <w:noProof/>
          <w:lang w:val="es-ES"/>
        </w:rPr>
        <w:t>.</w:t>
      </w:r>
    </w:p>
    <w:p w14:paraId="0DCC9FDA" w14:textId="77777777" w:rsidR="00465257" w:rsidRPr="00465257" w:rsidRDefault="00465257" w:rsidP="00465257">
      <w:pPr>
        <w:pStyle w:val="ListParagraph"/>
        <w:rPr>
          <w:noProof/>
          <w:lang w:val="es-ES"/>
        </w:rPr>
      </w:pPr>
    </w:p>
    <w:p w14:paraId="28EBEE9F" w14:textId="0E9FAFA8" w:rsidR="00465257" w:rsidRPr="00C3184C" w:rsidRDefault="00465257" w:rsidP="00C3184C">
      <w:pPr>
        <w:pStyle w:val="ListParagraph"/>
        <w:numPr>
          <w:ilvl w:val="0"/>
          <w:numId w:val="14"/>
        </w:numPr>
        <w:ind w:left="0" w:firstLine="708"/>
        <w:jc w:val="both"/>
        <w:rPr>
          <w:b/>
          <w:bCs/>
          <w:lang w:val="es-ES" w:eastAsia="es-ES"/>
        </w:rPr>
      </w:pPr>
      <w:r w:rsidRPr="00C3184C">
        <w:rPr>
          <w:b/>
          <w:bCs/>
          <w:noProof/>
          <w:lang w:val="es-ES"/>
        </w:rPr>
        <w:t>CONCLUSIONES</w:t>
      </w:r>
    </w:p>
    <w:p w14:paraId="1F227070" w14:textId="77777777" w:rsidR="00C3184C" w:rsidRDefault="00C3184C" w:rsidP="00C3184C">
      <w:pPr>
        <w:pStyle w:val="ListParagraph"/>
        <w:ind w:left="1428"/>
        <w:jc w:val="both"/>
        <w:rPr>
          <w:lang w:val="es-ES" w:eastAsia="es-ES"/>
        </w:rPr>
      </w:pPr>
    </w:p>
    <w:p w14:paraId="4AF36098" w14:textId="7B5E8A9C" w:rsidR="00C3184C" w:rsidRDefault="00C3184C" w:rsidP="00C43E4F">
      <w:pPr>
        <w:pStyle w:val="ListParagraph"/>
        <w:numPr>
          <w:ilvl w:val="0"/>
          <w:numId w:val="19"/>
        </w:numPr>
        <w:ind w:left="1440" w:hanging="720"/>
        <w:jc w:val="both"/>
        <w:rPr>
          <w:lang w:val="es-ES" w:eastAsia="es-ES"/>
        </w:rPr>
      </w:pPr>
      <w:r>
        <w:rPr>
          <w:noProof/>
          <w:lang w:val="es-ES"/>
        </w:rPr>
        <w:t>En virtud de las consideraciones y conclusiones expuestas en el presente informe,</w:t>
      </w:r>
    </w:p>
    <w:p w14:paraId="7F164FED" w14:textId="77777777" w:rsidR="00C3184C" w:rsidRDefault="00C3184C" w:rsidP="00C3184C">
      <w:pPr>
        <w:ind w:left="-180"/>
        <w:jc w:val="both"/>
        <w:rPr>
          <w:noProof/>
          <w:lang w:val="es-ES"/>
        </w:rPr>
      </w:pPr>
    </w:p>
    <w:p w14:paraId="4E66D4A4" w14:textId="77777777" w:rsidR="00C3184C" w:rsidRPr="00F15B5E" w:rsidRDefault="00C3184C" w:rsidP="007416E5">
      <w:pPr>
        <w:ind w:left="-180" w:firstLine="900"/>
        <w:jc w:val="center"/>
        <w:rPr>
          <w:b/>
          <w:bCs/>
          <w:noProof/>
          <w:lang w:val="es-ES"/>
        </w:rPr>
      </w:pPr>
      <w:r w:rsidRPr="00F15B5E">
        <w:rPr>
          <w:b/>
          <w:bCs/>
          <w:noProof/>
          <w:lang w:val="es-ES"/>
        </w:rPr>
        <w:t>LA COMISION INTERAMERICANA DE DERECHOS HUMANOS</w:t>
      </w:r>
    </w:p>
    <w:p w14:paraId="2BF2DE3C" w14:textId="77777777" w:rsidR="00C3184C" w:rsidRPr="00F15B5E" w:rsidRDefault="00C3184C" w:rsidP="00C3184C">
      <w:pPr>
        <w:ind w:left="-180"/>
        <w:jc w:val="both"/>
        <w:rPr>
          <w:noProof/>
          <w:lang w:val="es-ES"/>
        </w:rPr>
      </w:pPr>
    </w:p>
    <w:p w14:paraId="0536325D" w14:textId="1829C67E" w:rsidR="00C3184C" w:rsidRPr="00F15B5E" w:rsidRDefault="00C3184C" w:rsidP="00C3184C">
      <w:pPr>
        <w:jc w:val="both"/>
        <w:rPr>
          <w:b/>
          <w:bCs/>
          <w:noProof/>
          <w:lang w:val="es-ES"/>
        </w:rPr>
      </w:pPr>
      <w:r w:rsidRPr="00F15B5E">
        <w:rPr>
          <w:b/>
          <w:bCs/>
          <w:noProof/>
          <w:lang w:val="es-ES"/>
        </w:rPr>
        <w:t xml:space="preserve">DECIDE: </w:t>
      </w:r>
    </w:p>
    <w:p w14:paraId="15B08C8B" w14:textId="77777777" w:rsidR="00C3184C" w:rsidRPr="00F15B5E" w:rsidRDefault="00C3184C" w:rsidP="00C3184C">
      <w:pPr>
        <w:ind w:left="-180"/>
        <w:jc w:val="both"/>
        <w:rPr>
          <w:noProof/>
          <w:lang w:val="es-ES"/>
        </w:rPr>
      </w:pPr>
    </w:p>
    <w:p w14:paraId="1721C3E2" w14:textId="77777777" w:rsidR="00C3184C" w:rsidRPr="00F15B5E" w:rsidRDefault="00C3184C" w:rsidP="00C3184C">
      <w:pPr>
        <w:pStyle w:val="ListParagraph"/>
        <w:numPr>
          <w:ilvl w:val="0"/>
          <w:numId w:val="17"/>
        </w:numPr>
        <w:ind w:left="0" w:firstLine="720"/>
        <w:jc w:val="both"/>
        <w:rPr>
          <w:noProof/>
          <w:lang w:val="es-ES"/>
        </w:rPr>
      </w:pPr>
      <w:r w:rsidRPr="00F15B5E">
        <w:rPr>
          <w:noProof/>
          <w:lang w:val="es-ES"/>
        </w:rPr>
        <w:t xml:space="preserve">Archivar la peticion No. 1186-09 y cerrar el asunto. </w:t>
      </w:r>
    </w:p>
    <w:p w14:paraId="110F2F8B" w14:textId="77777777" w:rsidR="00C3184C" w:rsidRPr="00F15B5E" w:rsidRDefault="00C3184C" w:rsidP="00C3184C">
      <w:pPr>
        <w:pStyle w:val="ListParagraph"/>
        <w:numPr>
          <w:ilvl w:val="0"/>
          <w:numId w:val="17"/>
        </w:numPr>
        <w:ind w:left="0" w:firstLine="720"/>
        <w:jc w:val="both"/>
        <w:rPr>
          <w:noProof/>
          <w:lang w:val="es-ES"/>
        </w:rPr>
      </w:pPr>
      <w:r w:rsidRPr="00F15B5E">
        <w:rPr>
          <w:noProof/>
          <w:lang w:val="es-ES"/>
        </w:rPr>
        <w:t xml:space="preserve">Comunicar su decision de archivo a las partes. </w:t>
      </w:r>
    </w:p>
    <w:p w14:paraId="5196645B" w14:textId="1B6250E0" w:rsidR="0008227B" w:rsidRDefault="00C3184C" w:rsidP="00C3184C">
      <w:pPr>
        <w:pStyle w:val="ListParagraph"/>
        <w:numPr>
          <w:ilvl w:val="0"/>
          <w:numId w:val="17"/>
        </w:numPr>
        <w:ind w:left="0" w:firstLine="720"/>
        <w:jc w:val="both"/>
        <w:rPr>
          <w:noProof/>
          <w:lang w:val="es-ES"/>
        </w:rPr>
      </w:pPr>
      <w:r w:rsidRPr="00F15B5E">
        <w:rPr>
          <w:noProof/>
          <w:lang w:val="es-ES"/>
        </w:rPr>
        <w:t>Hacer público el presente informe e incluirlo en su Informe Anual a la Asamblea General de la OEA.</w:t>
      </w:r>
    </w:p>
    <w:p w14:paraId="193D0F3B" w14:textId="77777777" w:rsidR="0060415E" w:rsidRDefault="0060415E" w:rsidP="0060415E">
      <w:pPr>
        <w:ind w:firstLine="720"/>
        <w:jc w:val="both"/>
        <w:rPr>
          <w:rFonts w:asciiTheme="majorHAnsi" w:hAnsiTheme="majorHAnsi" w:cstheme="minorHAnsi"/>
          <w:color w:val="000000" w:themeColor="text1"/>
          <w:szCs w:val="20"/>
          <w:lang w:val="es-CO" w:eastAsia="es-ES_tradnl"/>
        </w:rPr>
      </w:pPr>
    </w:p>
    <w:p w14:paraId="7A713237" w14:textId="027333F7" w:rsidR="0060415E" w:rsidRPr="00833D7C" w:rsidRDefault="00833D7C" w:rsidP="002B65E4">
      <w:pPr>
        <w:ind w:firstLine="720"/>
        <w:jc w:val="both"/>
        <w:rPr>
          <w:rFonts w:asciiTheme="majorHAnsi" w:hAnsiTheme="majorHAnsi" w:cstheme="minorHAnsi"/>
          <w:color w:val="000000" w:themeColor="text1"/>
          <w:szCs w:val="20"/>
          <w:lang w:val="es-ES" w:eastAsia="es-ES_tradnl"/>
        </w:rPr>
      </w:pPr>
      <w:r w:rsidRPr="00052002">
        <w:rPr>
          <w:rFonts w:cstheme="minorHAnsi"/>
          <w:color w:val="000000" w:themeColor="text1"/>
          <w:szCs w:val="20"/>
          <w:lang w:val="es-CO" w:eastAsia="es-ES_tradnl"/>
        </w:rPr>
        <w:t>Aprobado por la Comisión Interamericana de Derechos Humanos a los 25 días del mes de julio de 2022. (Firmado): Julissa Mantilla Falcón, Presidenta; Edgar Stuardo Ralón Orellana, Primer Vicepresidente; Margarette May Macaulay, Segunda Vicepresidenta; Esmeralda E. Arosemena de Troitiñ</w:t>
      </w:r>
      <w:r>
        <w:rPr>
          <w:rFonts w:cstheme="minorHAnsi"/>
          <w:color w:val="000000" w:themeColor="text1"/>
          <w:szCs w:val="20"/>
          <w:lang w:val="es-CO" w:eastAsia="es-ES_tradnl"/>
        </w:rPr>
        <w:t>o;</w:t>
      </w:r>
      <w:r w:rsidRPr="00052002">
        <w:rPr>
          <w:rFonts w:cstheme="minorHAnsi"/>
          <w:color w:val="000000" w:themeColor="text1"/>
          <w:szCs w:val="20"/>
          <w:lang w:val="es-CO" w:eastAsia="es-ES_tradnl"/>
        </w:rPr>
        <w:t xml:space="preserve"> Joel Hernández García</w:t>
      </w:r>
      <w:r>
        <w:rPr>
          <w:rFonts w:cstheme="minorHAnsi"/>
          <w:color w:val="000000" w:themeColor="text1"/>
          <w:szCs w:val="20"/>
          <w:lang w:val="es-CO" w:eastAsia="es-ES_tradnl"/>
        </w:rPr>
        <w:t>;</w:t>
      </w:r>
      <w:r w:rsidRPr="00052002">
        <w:rPr>
          <w:rFonts w:cstheme="minorHAnsi"/>
          <w:color w:val="000000" w:themeColor="text1"/>
          <w:szCs w:val="20"/>
          <w:lang w:val="es-CO" w:eastAsia="es-ES_tradnl"/>
        </w:rPr>
        <w:t xml:space="preserve"> Carlos Bernal Pulido y Roberta Clarke Miembros de la Comisión.</w:t>
      </w:r>
    </w:p>
    <w:p w14:paraId="034DCFE9" w14:textId="27086E70" w:rsidR="0008227B" w:rsidRPr="0008227B" w:rsidRDefault="0008227B" w:rsidP="00465257">
      <w:pPr>
        <w:pStyle w:val="ListParagraph"/>
        <w:ind w:left="540"/>
        <w:jc w:val="both"/>
        <w:rPr>
          <w:lang w:val="es-ES" w:eastAsia="es-ES"/>
        </w:rPr>
      </w:pPr>
    </w:p>
    <w:sectPr w:rsidR="0008227B" w:rsidRPr="0008227B" w:rsidSect="00BC1DB2">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D313" w14:textId="77777777" w:rsidR="00D8199C" w:rsidRDefault="00D8199C">
      <w:r>
        <w:separator/>
      </w:r>
    </w:p>
  </w:endnote>
  <w:endnote w:type="continuationSeparator" w:id="0">
    <w:p w14:paraId="7A2B17C3" w14:textId="77777777" w:rsidR="00D8199C" w:rsidRDefault="00D8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1D42" w14:textId="77777777" w:rsidR="00BC1DB2" w:rsidRPr="00934A2C" w:rsidRDefault="00BC1DB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97DDD">
      <w:rPr>
        <w:noProof/>
        <w:sz w:val="16"/>
        <w:szCs w:val="22"/>
      </w:rPr>
      <w:t>2</w:t>
    </w:r>
    <w:r w:rsidRPr="00934A2C">
      <w:rPr>
        <w:sz w:val="16"/>
        <w:szCs w:val="22"/>
      </w:rPr>
      <w:fldChar w:fldCharType="end"/>
    </w:r>
  </w:p>
  <w:p w14:paraId="02BC0FE6" w14:textId="77777777" w:rsidR="00BC1DB2" w:rsidRDefault="00BC1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591E" w14:textId="77777777" w:rsidR="00BC1DB2" w:rsidRPr="00934A2C" w:rsidRDefault="00BC1DB2">
    <w:pPr>
      <w:pStyle w:val="Footer"/>
      <w:jc w:val="center"/>
      <w:rPr>
        <w:sz w:val="16"/>
        <w:szCs w:val="22"/>
      </w:rPr>
    </w:pPr>
  </w:p>
  <w:p w14:paraId="37618B5C" w14:textId="77777777" w:rsidR="00BC1DB2" w:rsidRDefault="00BC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7FB9" w14:textId="77777777" w:rsidR="00D8199C" w:rsidRDefault="00D8199C">
      <w:r>
        <w:separator/>
      </w:r>
    </w:p>
  </w:footnote>
  <w:footnote w:type="continuationSeparator" w:id="0">
    <w:p w14:paraId="6D70892A" w14:textId="77777777" w:rsidR="00D8199C" w:rsidRDefault="00D8199C">
      <w:r>
        <w:continuationSeparator/>
      </w:r>
    </w:p>
  </w:footnote>
  <w:footnote w:id="1">
    <w:p w14:paraId="3B598645" w14:textId="3B293D93" w:rsidR="00F7304B" w:rsidRPr="0066309F" w:rsidRDefault="00F7304B" w:rsidP="0066309F">
      <w:pPr>
        <w:pStyle w:val="FootnoteText"/>
        <w:ind w:firstLine="720"/>
        <w:jc w:val="both"/>
        <w:rPr>
          <w:sz w:val="16"/>
          <w:szCs w:val="16"/>
          <w:lang w:val="es-ES_tradnl"/>
        </w:rPr>
      </w:pPr>
      <w:r w:rsidRPr="0066309F">
        <w:rPr>
          <w:rStyle w:val="FootnoteReference"/>
          <w:sz w:val="16"/>
          <w:szCs w:val="16"/>
        </w:rPr>
        <w:footnoteRef/>
      </w:r>
      <w:r w:rsidRPr="0066309F">
        <w:rPr>
          <w:sz w:val="16"/>
          <w:szCs w:val="16"/>
          <w:lang w:val="es-ES_tradnl"/>
        </w:rPr>
        <w:t xml:space="preserve"> </w:t>
      </w:r>
      <w:r w:rsidR="006F30D7" w:rsidRPr="0066309F">
        <w:rPr>
          <w:sz w:val="16"/>
          <w:szCs w:val="16"/>
          <w:lang w:val="es-ES_tradnl"/>
        </w:rPr>
        <w:t xml:space="preserve">En la petición original la parte peticionaria no especificó </w:t>
      </w:r>
      <w:r w:rsidR="00BD2F00" w:rsidRPr="0066309F">
        <w:rPr>
          <w:sz w:val="16"/>
          <w:szCs w:val="16"/>
          <w:lang w:val="es-ES_tradnl"/>
        </w:rPr>
        <w:t xml:space="preserve">los artículos </w:t>
      </w:r>
      <w:r w:rsidR="00F3456B" w:rsidRPr="0066309F">
        <w:rPr>
          <w:sz w:val="16"/>
          <w:szCs w:val="16"/>
          <w:lang w:val="es-ES_tradnl"/>
        </w:rPr>
        <w:t xml:space="preserve">de las violaciones alegadas, sin </w:t>
      </w:r>
      <w:r w:rsidR="009049E0" w:rsidRPr="0066309F">
        <w:rPr>
          <w:sz w:val="16"/>
          <w:szCs w:val="16"/>
          <w:lang w:val="es-ES_tradnl"/>
        </w:rPr>
        <w:t>embargo,</w:t>
      </w:r>
      <w:r w:rsidR="00F3456B" w:rsidRPr="0066309F">
        <w:rPr>
          <w:sz w:val="16"/>
          <w:szCs w:val="16"/>
          <w:lang w:val="es-ES_tradnl"/>
        </w:rPr>
        <w:t xml:space="preserve"> </w:t>
      </w:r>
      <w:r w:rsidR="002C1CC4" w:rsidRPr="0066309F">
        <w:rPr>
          <w:sz w:val="16"/>
          <w:szCs w:val="16"/>
          <w:lang w:val="es-ES_tradnl"/>
        </w:rPr>
        <w:t xml:space="preserve">los hechos </w:t>
      </w:r>
      <w:r w:rsidR="009F18FE" w:rsidRPr="0066309F">
        <w:rPr>
          <w:sz w:val="16"/>
          <w:szCs w:val="16"/>
          <w:lang w:val="es-ES_tradnl"/>
        </w:rPr>
        <w:t>descritos</w:t>
      </w:r>
      <w:r w:rsidR="002C1CC4" w:rsidRPr="0066309F">
        <w:rPr>
          <w:sz w:val="16"/>
          <w:szCs w:val="16"/>
          <w:lang w:val="es-ES_tradnl"/>
        </w:rPr>
        <w:t xml:space="preserve"> en la petición original </w:t>
      </w:r>
      <w:r w:rsidR="009F18FE" w:rsidRPr="0066309F">
        <w:rPr>
          <w:sz w:val="16"/>
          <w:szCs w:val="16"/>
          <w:lang w:val="es-ES_tradnl"/>
        </w:rPr>
        <w:t xml:space="preserve">podrían caracterizar una </w:t>
      </w:r>
      <w:r w:rsidR="002C1CC4" w:rsidRPr="0066309F">
        <w:rPr>
          <w:sz w:val="16"/>
          <w:szCs w:val="16"/>
          <w:lang w:val="es-ES_tradnl"/>
        </w:rPr>
        <w:t xml:space="preserve">violación del artículo 24 (igualdad ante la ley) de la Convención Americana sobre Derechos Humanos. </w:t>
      </w:r>
    </w:p>
  </w:footnote>
  <w:footnote w:id="2">
    <w:p w14:paraId="36AF1B8F" w14:textId="331C7C5D" w:rsidR="00734CB5" w:rsidRPr="00E41F5E" w:rsidRDefault="00734CB5" w:rsidP="00E41F5E">
      <w:pPr>
        <w:pStyle w:val="FootnoteText"/>
        <w:ind w:firstLine="720"/>
        <w:jc w:val="both"/>
        <w:rPr>
          <w:sz w:val="16"/>
          <w:szCs w:val="16"/>
          <w:lang w:val="es-ES_tradnl"/>
        </w:rPr>
      </w:pPr>
      <w:r w:rsidRPr="00E41F5E">
        <w:rPr>
          <w:rStyle w:val="FootnoteReference"/>
          <w:sz w:val="16"/>
          <w:szCs w:val="16"/>
        </w:rPr>
        <w:footnoteRef/>
      </w:r>
      <w:r w:rsidRPr="00E41F5E">
        <w:rPr>
          <w:sz w:val="16"/>
          <w:szCs w:val="16"/>
          <w:lang w:val="es-ES_tradnl"/>
        </w:rPr>
        <w:t xml:space="preserve"> </w:t>
      </w:r>
      <w:r w:rsidRPr="00E41F5E">
        <w:rPr>
          <w:sz w:val="16"/>
          <w:szCs w:val="16"/>
          <w:lang w:val="es-ES"/>
        </w:rPr>
        <w:t>Dicho acuerdo incluyó las siguientes medidas de reparación: a) acto de rendición de honores al más alto nivel por el fallecimiento de Juan Carlos Flores Bedregal consistente en una declaración oficial como mártir de la democracia, la creación de un “Premio a la Democracia” que lleve su nombre, y un acto público de excusas y el compromiso de continuar con la búsqueda de sus restos; b) el pago de una reparación pecuniaria; y c) el otorgamiento de una pensión vitalicia en favor de la señora Adela Villamil</w:t>
      </w:r>
      <w:r w:rsidR="00661F55">
        <w:rPr>
          <w:sz w:val="16"/>
          <w:szCs w:val="16"/>
          <w:lang w:val="es-ES"/>
        </w:rPr>
        <w:t>.</w:t>
      </w:r>
    </w:p>
  </w:footnote>
  <w:footnote w:id="3">
    <w:p w14:paraId="5E304DA2" w14:textId="77777777" w:rsidR="00A61EF1" w:rsidRPr="00644E15" w:rsidRDefault="00A61EF1" w:rsidP="00D42336">
      <w:pPr>
        <w:ind w:firstLine="720"/>
        <w:jc w:val="both"/>
        <w:rPr>
          <w:sz w:val="16"/>
          <w:szCs w:val="16"/>
          <w:lang w:val="es-CO"/>
        </w:rPr>
      </w:pPr>
      <w:r w:rsidRPr="00644E15">
        <w:rPr>
          <w:rStyle w:val="FootnoteReference"/>
          <w:sz w:val="16"/>
          <w:szCs w:val="16"/>
        </w:rPr>
        <w:footnoteRef/>
      </w:r>
      <w:r w:rsidRPr="00644E15">
        <w:rPr>
          <w:sz w:val="16"/>
          <w:szCs w:val="16"/>
          <w:lang w:val="es-ES_tradnl"/>
        </w:rPr>
        <w:t xml:space="preserve"> </w:t>
      </w:r>
      <w:r w:rsidRPr="00644E15">
        <w:rPr>
          <w:sz w:val="16"/>
          <w:szCs w:val="16"/>
          <w:lang w:val="es-ES"/>
        </w:rPr>
        <w:t>Según</w:t>
      </w:r>
      <w:r w:rsidRPr="00644E15">
        <w:rPr>
          <w:rFonts w:cs="Calibri"/>
          <w:sz w:val="16"/>
          <w:szCs w:val="16"/>
          <w:lang w:val="es-CO"/>
        </w:rPr>
        <w:t xml:space="preserve"> lo establecido en el artículo 48. F y 49 de la Convención Americana sobre Derechos Humanos y en el artículo 40 del Reglamento de la Comisión, “si se ha llegado a una solución amistosa con arreglo a las disposiciones del inciso 1.f. del artículo 48, la Comisión redactará un informe que será transmitido al peticionario y a los Estados Parte en esta Convención y comunicado después, para su publicación, al Secretario General de la Organización de los Estados Americanos. Este informe contendrá una breve exposición de los hechos y de la solución lograda” y </w:t>
      </w:r>
      <w:r w:rsidRPr="00644E15">
        <w:rPr>
          <w:rFonts w:cs="Calibri"/>
          <w:sz w:val="16"/>
          <w:szCs w:val="16"/>
          <w:u w:val="single"/>
          <w:lang w:val="es-CO"/>
        </w:rPr>
        <w:t>“[e]</w:t>
      </w:r>
      <w:r w:rsidRPr="00644E15">
        <w:rPr>
          <w:rFonts w:cs="Tahoma"/>
          <w:sz w:val="16"/>
          <w:szCs w:val="16"/>
          <w:u w:val="single"/>
          <w:shd w:val="clear" w:color="auto" w:fill="FFFFFF"/>
          <w:lang w:val="es-CO"/>
        </w:rPr>
        <w:t>n todos los casos, la solución amistosa deberá fundarse en el respeto de los derechos humanos reconocidos en la Convención Americana sobre Derechos Humanos, la Declaración Americana y otros instrumentos aplicables</w:t>
      </w:r>
      <w:r w:rsidRPr="00644E15">
        <w:rPr>
          <w:rFonts w:cs="Tahoma"/>
          <w:sz w:val="16"/>
          <w:szCs w:val="16"/>
          <w:shd w:val="clear" w:color="auto" w:fill="FFFFFF"/>
          <w:lang w:val="es-CO"/>
        </w:rPr>
        <w:t xml:space="preserve">. </w:t>
      </w:r>
    </w:p>
    <w:p w14:paraId="7E1F364F" w14:textId="77777777" w:rsidR="00A61EF1" w:rsidRPr="00644E15" w:rsidRDefault="00A61EF1" w:rsidP="00A61EF1">
      <w:pPr>
        <w:pStyle w:val="FootnoteText"/>
        <w:jc w:val="both"/>
        <w:rPr>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42" w14:textId="77777777" w:rsidR="00BC1DB2" w:rsidRDefault="00BC1DB2" w:rsidP="00BC1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6AB533" w14:textId="77777777" w:rsidR="00BC1DB2" w:rsidRDefault="00BC1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518B" w14:textId="71D7CF81" w:rsidR="00BC1DB2" w:rsidRDefault="00E90359" w:rsidP="00BC1DB2">
    <w:pPr>
      <w:pStyle w:val="Header"/>
      <w:tabs>
        <w:tab w:val="clear" w:pos="4320"/>
        <w:tab w:val="clear" w:pos="8640"/>
      </w:tabs>
      <w:jc w:val="center"/>
      <w:rPr>
        <w:sz w:val="22"/>
        <w:szCs w:val="22"/>
      </w:rPr>
    </w:pPr>
    <w:r>
      <w:rPr>
        <w:noProof/>
        <w:sz w:val="22"/>
        <w:szCs w:val="22"/>
      </w:rPr>
      <w:drawing>
        <wp:inline distT="0" distB="0" distL="0" distR="0" wp14:anchorId="1F48A0D1" wp14:editId="677E42DC">
          <wp:extent cx="1952625" cy="1047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14:paraId="5789315D" w14:textId="77777777" w:rsidR="00BC1DB2" w:rsidRPr="00EC7D62" w:rsidRDefault="00A219E6" w:rsidP="00BC1DB2">
    <w:pPr>
      <w:pStyle w:val="Header"/>
      <w:tabs>
        <w:tab w:val="clear" w:pos="4320"/>
        <w:tab w:val="clear" w:pos="8640"/>
      </w:tabs>
      <w:jc w:val="center"/>
      <w:rPr>
        <w:sz w:val="22"/>
        <w:szCs w:val="22"/>
      </w:rPr>
    </w:pPr>
    <w:r>
      <w:rPr>
        <w:sz w:val="22"/>
        <w:szCs w:val="22"/>
      </w:rPr>
      <w:pict w14:anchorId="404E2CF8">
        <v:rect id="_x0000_i1025" style="width:0;height:1.5pt" o:hralign="center" o:hrstd="t" o:hr="t" fillcolor="#a0a0a0" stroked="f">
          <v:imagedata r:id="rId2" o:titl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B2A"/>
    <w:multiLevelType w:val="hybridMultilevel"/>
    <w:tmpl w:val="69A45662"/>
    <w:lvl w:ilvl="0" w:tplc="310853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84263"/>
    <w:multiLevelType w:val="hybridMultilevel"/>
    <w:tmpl w:val="0B7E4CDA"/>
    <w:lvl w:ilvl="0" w:tplc="0C0A0013">
      <w:start w:val="1"/>
      <w:numFmt w:val="upperRoman"/>
      <w:lvlText w:val="%1."/>
      <w:lvlJc w:val="right"/>
      <w:pPr>
        <w:tabs>
          <w:tab w:val="num" w:pos="1248"/>
        </w:tabs>
        <w:ind w:left="1248" w:hanging="180"/>
      </w:pPr>
    </w:lvl>
    <w:lvl w:ilvl="1" w:tplc="0C0A0015">
      <w:start w:val="1"/>
      <w:numFmt w:val="upp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A6B60BF"/>
    <w:multiLevelType w:val="hybridMultilevel"/>
    <w:tmpl w:val="8A4CF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C3D2D"/>
    <w:multiLevelType w:val="hybridMultilevel"/>
    <w:tmpl w:val="0596AEFE"/>
    <w:lvl w:ilvl="0" w:tplc="EE26AAC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323006FC"/>
    <w:multiLevelType w:val="hybridMultilevel"/>
    <w:tmpl w:val="5838D004"/>
    <w:lvl w:ilvl="0" w:tplc="D5D4C836">
      <w:start w:val="1"/>
      <w:numFmt w:val="decimal"/>
      <w:lvlText w:val="%1."/>
      <w:lvlJc w:val="left"/>
      <w:pPr>
        <w:tabs>
          <w:tab w:val="num" w:pos="720"/>
        </w:tabs>
        <w:ind w:left="720" w:hanging="360"/>
      </w:pPr>
      <w:rPr>
        <w:b/>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B877D21"/>
    <w:multiLevelType w:val="multilevel"/>
    <w:tmpl w:val="CB8669EE"/>
    <w:lvl w:ilvl="0">
      <w:start w:val="1"/>
      <w:numFmt w:val="upperLetter"/>
      <w:lvlText w:val="%1."/>
      <w:lvlJc w:val="left"/>
      <w:pPr>
        <w:tabs>
          <w:tab w:val="num" w:pos="540"/>
        </w:tabs>
        <w:ind w:left="540" w:hanging="360"/>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444975CB"/>
    <w:multiLevelType w:val="multilevel"/>
    <w:tmpl w:val="0C0A0027"/>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462B1A2E"/>
    <w:multiLevelType w:val="hybridMultilevel"/>
    <w:tmpl w:val="C1E6187C"/>
    <w:lvl w:ilvl="0" w:tplc="077698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37B661B"/>
    <w:multiLevelType w:val="hybridMultilevel"/>
    <w:tmpl w:val="BE2C38E4"/>
    <w:lvl w:ilvl="0" w:tplc="000C35F2">
      <w:start w:val="1"/>
      <w:numFmt w:val="decimal"/>
      <w:lvlText w:val="%1."/>
      <w:lvlJc w:val="left"/>
      <w:pPr>
        <w:tabs>
          <w:tab w:val="num" w:pos="540"/>
        </w:tabs>
        <w:ind w:left="-180" w:firstLine="720"/>
      </w:pPr>
      <w:rPr>
        <w:rFonts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02175"/>
    <w:multiLevelType w:val="hybridMultilevel"/>
    <w:tmpl w:val="91C81494"/>
    <w:lvl w:ilvl="0" w:tplc="000C35F2">
      <w:start w:val="1"/>
      <w:numFmt w:val="decimal"/>
      <w:lvlText w:val="%1."/>
      <w:lvlJc w:val="left"/>
      <w:pPr>
        <w:tabs>
          <w:tab w:val="num" w:pos="540"/>
        </w:tabs>
        <w:ind w:left="-180" w:firstLine="720"/>
      </w:pPr>
      <w:rPr>
        <w:rFonts w:hint="default"/>
        <w:b w:val="0"/>
        <w:color w:val="000000"/>
        <w:sz w:val="20"/>
        <w:szCs w:val="2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BFE6718"/>
    <w:multiLevelType w:val="hybridMultilevel"/>
    <w:tmpl w:val="431C03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F8E1CB8"/>
    <w:multiLevelType w:val="hybridMultilevel"/>
    <w:tmpl w:val="9AC8551A"/>
    <w:lvl w:ilvl="0" w:tplc="65E8D7DC">
      <w:start w:val="1"/>
      <w:numFmt w:val="decimal"/>
      <w:lvlText w:val="%1."/>
      <w:lvlJc w:val="left"/>
      <w:pPr>
        <w:ind w:left="720" w:hanging="360"/>
      </w:pPr>
      <w:rPr>
        <w:rFonts w:cs="Cambria"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336DB0"/>
    <w:multiLevelType w:val="hybridMultilevel"/>
    <w:tmpl w:val="B7BADAE0"/>
    <w:lvl w:ilvl="0" w:tplc="387C71D0">
      <w:start w:val="2"/>
      <w:numFmt w:val="upperLetter"/>
      <w:lvlText w:val="%1."/>
      <w:lvlJc w:val="left"/>
      <w:pPr>
        <w:tabs>
          <w:tab w:val="num" w:pos="1410"/>
        </w:tabs>
        <w:ind w:left="1410" w:hanging="69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63480A74"/>
    <w:multiLevelType w:val="hybridMultilevel"/>
    <w:tmpl w:val="664E4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725ED"/>
    <w:multiLevelType w:val="hybridMultilevel"/>
    <w:tmpl w:val="8BB088C0"/>
    <w:lvl w:ilvl="0" w:tplc="181EA784">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71D2344"/>
    <w:multiLevelType w:val="hybridMultilevel"/>
    <w:tmpl w:val="EE12BF82"/>
    <w:lvl w:ilvl="0" w:tplc="BD26FE8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730CEF2E">
      <w:start w:val="2"/>
      <w:numFmt w:val="upperLetter"/>
      <w:lvlText w:val="%3."/>
      <w:lvlJc w:val="left"/>
      <w:pPr>
        <w:tabs>
          <w:tab w:val="num" w:pos="2670"/>
        </w:tabs>
        <w:ind w:left="2670" w:hanging="690"/>
      </w:pPr>
      <w:rPr>
        <w:rFonts w:hint="default"/>
        <w:lang w:val="es-E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6178E8"/>
    <w:multiLevelType w:val="hybridMultilevel"/>
    <w:tmpl w:val="1D5A7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B0F18"/>
    <w:multiLevelType w:val="hybridMultilevel"/>
    <w:tmpl w:val="0660F402"/>
    <w:lvl w:ilvl="0" w:tplc="D0F866B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51114748">
    <w:abstractNumId w:val="7"/>
  </w:num>
  <w:num w:numId="2" w16cid:durableId="1858077031">
    <w:abstractNumId w:val="6"/>
  </w:num>
  <w:num w:numId="3" w16cid:durableId="1686906589">
    <w:abstractNumId w:val="11"/>
  </w:num>
  <w:num w:numId="4" w16cid:durableId="589389654">
    <w:abstractNumId w:val="16"/>
  </w:num>
  <w:num w:numId="5" w16cid:durableId="967780670">
    <w:abstractNumId w:val="5"/>
  </w:num>
  <w:num w:numId="6" w16cid:durableId="897015772">
    <w:abstractNumId w:val="1"/>
  </w:num>
  <w:num w:numId="7" w16cid:durableId="1228999082">
    <w:abstractNumId w:val="2"/>
  </w:num>
  <w:num w:numId="8" w16cid:durableId="770593175">
    <w:abstractNumId w:val="17"/>
  </w:num>
  <w:num w:numId="9" w16cid:durableId="1374038136">
    <w:abstractNumId w:val="10"/>
  </w:num>
  <w:num w:numId="10" w16cid:durableId="2083092478">
    <w:abstractNumId w:val="13"/>
  </w:num>
  <w:num w:numId="11" w16cid:durableId="1979261958">
    <w:abstractNumId w:val="0"/>
  </w:num>
  <w:num w:numId="12" w16cid:durableId="704715874">
    <w:abstractNumId w:val="14"/>
  </w:num>
  <w:num w:numId="13" w16cid:durableId="796989482">
    <w:abstractNumId w:val="18"/>
  </w:num>
  <w:num w:numId="14" w16cid:durableId="1890797897">
    <w:abstractNumId w:val="15"/>
  </w:num>
  <w:num w:numId="15" w16cid:durableId="1400322478">
    <w:abstractNumId w:val="12"/>
  </w:num>
  <w:num w:numId="16" w16cid:durableId="1501502967">
    <w:abstractNumId w:val="9"/>
  </w:num>
  <w:num w:numId="17" w16cid:durableId="1721857788">
    <w:abstractNumId w:val="3"/>
  </w:num>
  <w:num w:numId="18" w16cid:durableId="884148229">
    <w:abstractNumId w:val="4"/>
  </w:num>
  <w:num w:numId="19" w16cid:durableId="867377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2A"/>
    <w:rsid w:val="000231E5"/>
    <w:rsid w:val="00024714"/>
    <w:rsid w:val="00032F4C"/>
    <w:rsid w:val="00035361"/>
    <w:rsid w:val="00042127"/>
    <w:rsid w:val="0004326A"/>
    <w:rsid w:val="00054B33"/>
    <w:rsid w:val="00061B54"/>
    <w:rsid w:val="00072CD3"/>
    <w:rsid w:val="0008227B"/>
    <w:rsid w:val="000860B7"/>
    <w:rsid w:val="00093237"/>
    <w:rsid w:val="000A2321"/>
    <w:rsid w:val="000D6422"/>
    <w:rsid w:val="000F1174"/>
    <w:rsid w:val="000F4AD1"/>
    <w:rsid w:val="00111239"/>
    <w:rsid w:val="001119F8"/>
    <w:rsid w:val="0012713C"/>
    <w:rsid w:val="00133059"/>
    <w:rsid w:val="00136B8F"/>
    <w:rsid w:val="00145A5A"/>
    <w:rsid w:val="001607AB"/>
    <w:rsid w:val="00164010"/>
    <w:rsid w:val="00172A8C"/>
    <w:rsid w:val="00177D61"/>
    <w:rsid w:val="0018026E"/>
    <w:rsid w:val="00193348"/>
    <w:rsid w:val="001A4141"/>
    <w:rsid w:val="001A5541"/>
    <w:rsid w:val="001B2E67"/>
    <w:rsid w:val="001B5D46"/>
    <w:rsid w:val="001C5E84"/>
    <w:rsid w:val="001E1BAB"/>
    <w:rsid w:val="00206F35"/>
    <w:rsid w:val="00210AC7"/>
    <w:rsid w:val="0023273B"/>
    <w:rsid w:val="00241D4F"/>
    <w:rsid w:val="00241F81"/>
    <w:rsid w:val="00243161"/>
    <w:rsid w:val="00245B2F"/>
    <w:rsid w:val="00272C18"/>
    <w:rsid w:val="00280AF7"/>
    <w:rsid w:val="002921A7"/>
    <w:rsid w:val="00297796"/>
    <w:rsid w:val="002A0633"/>
    <w:rsid w:val="002A4705"/>
    <w:rsid w:val="002B65E4"/>
    <w:rsid w:val="002C1ADB"/>
    <w:rsid w:val="002C1CC4"/>
    <w:rsid w:val="002C4D4A"/>
    <w:rsid w:val="002F1CBD"/>
    <w:rsid w:val="00306B0A"/>
    <w:rsid w:val="00324E2A"/>
    <w:rsid w:val="003641AF"/>
    <w:rsid w:val="003678FB"/>
    <w:rsid w:val="003740B8"/>
    <w:rsid w:val="00377BC8"/>
    <w:rsid w:val="003A79A1"/>
    <w:rsid w:val="003B59DF"/>
    <w:rsid w:val="003C2125"/>
    <w:rsid w:val="003C57BD"/>
    <w:rsid w:val="003F60F7"/>
    <w:rsid w:val="004020CD"/>
    <w:rsid w:val="004124BA"/>
    <w:rsid w:val="00414A45"/>
    <w:rsid w:val="00423183"/>
    <w:rsid w:val="00434B93"/>
    <w:rsid w:val="00441E6E"/>
    <w:rsid w:val="00455F25"/>
    <w:rsid w:val="00465257"/>
    <w:rsid w:val="00484CAF"/>
    <w:rsid w:val="00484CF3"/>
    <w:rsid w:val="0049572E"/>
    <w:rsid w:val="004A490E"/>
    <w:rsid w:val="004D122F"/>
    <w:rsid w:val="004D24BE"/>
    <w:rsid w:val="004D6124"/>
    <w:rsid w:val="004D7140"/>
    <w:rsid w:val="004E5DAC"/>
    <w:rsid w:val="005401F9"/>
    <w:rsid w:val="00546251"/>
    <w:rsid w:val="005477B1"/>
    <w:rsid w:val="00552D83"/>
    <w:rsid w:val="00562CBA"/>
    <w:rsid w:val="00565776"/>
    <w:rsid w:val="00565C75"/>
    <w:rsid w:val="005B5059"/>
    <w:rsid w:val="005C607B"/>
    <w:rsid w:val="005F2761"/>
    <w:rsid w:val="005F2C81"/>
    <w:rsid w:val="005F6807"/>
    <w:rsid w:val="005F7557"/>
    <w:rsid w:val="0060199D"/>
    <w:rsid w:val="0060415E"/>
    <w:rsid w:val="00604C19"/>
    <w:rsid w:val="00612755"/>
    <w:rsid w:val="00635146"/>
    <w:rsid w:val="00656935"/>
    <w:rsid w:val="00661F55"/>
    <w:rsid w:val="0066309F"/>
    <w:rsid w:val="0066538F"/>
    <w:rsid w:val="00671DC5"/>
    <w:rsid w:val="00684EB8"/>
    <w:rsid w:val="00690997"/>
    <w:rsid w:val="00697DDD"/>
    <w:rsid w:val="006A2A4B"/>
    <w:rsid w:val="006A4D1B"/>
    <w:rsid w:val="006A6B33"/>
    <w:rsid w:val="006C74F8"/>
    <w:rsid w:val="006D5DC2"/>
    <w:rsid w:val="006F07B8"/>
    <w:rsid w:val="006F30D7"/>
    <w:rsid w:val="006F4E4A"/>
    <w:rsid w:val="0071329C"/>
    <w:rsid w:val="0073470A"/>
    <w:rsid w:val="00734CB5"/>
    <w:rsid w:val="007416E5"/>
    <w:rsid w:val="00761C5B"/>
    <w:rsid w:val="00770BB6"/>
    <w:rsid w:val="00780E5C"/>
    <w:rsid w:val="00785F74"/>
    <w:rsid w:val="00786CF0"/>
    <w:rsid w:val="00787006"/>
    <w:rsid w:val="00791F8A"/>
    <w:rsid w:val="007A3A4A"/>
    <w:rsid w:val="007C243E"/>
    <w:rsid w:val="007D6782"/>
    <w:rsid w:val="007E7810"/>
    <w:rsid w:val="007F48A0"/>
    <w:rsid w:val="00811B56"/>
    <w:rsid w:val="008150AD"/>
    <w:rsid w:val="00824444"/>
    <w:rsid w:val="00832090"/>
    <w:rsid w:val="008339DF"/>
    <w:rsid w:val="00833D7C"/>
    <w:rsid w:val="00843804"/>
    <w:rsid w:val="00846DBF"/>
    <w:rsid w:val="00852A7F"/>
    <w:rsid w:val="00856B9F"/>
    <w:rsid w:val="00856DF3"/>
    <w:rsid w:val="00872FF8"/>
    <w:rsid w:val="00873445"/>
    <w:rsid w:val="0088513E"/>
    <w:rsid w:val="008E3E7A"/>
    <w:rsid w:val="008F7B08"/>
    <w:rsid w:val="009049E0"/>
    <w:rsid w:val="009052AA"/>
    <w:rsid w:val="00917750"/>
    <w:rsid w:val="009205E9"/>
    <w:rsid w:val="00932408"/>
    <w:rsid w:val="00934F02"/>
    <w:rsid w:val="00946E62"/>
    <w:rsid w:val="0095741F"/>
    <w:rsid w:val="00962D54"/>
    <w:rsid w:val="009708C0"/>
    <w:rsid w:val="00982134"/>
    <w:rsid w:val="00982F3F"/>
    <w:rsid w:val="009B1D10"/>
    <w:rsid w:val="009C31F0"/>
    <w:rsid w:val="009D38C1"/>
    <w:rsid w:val="009D70ED"/>
    <w:rsid w:val="009E7230"/>
    <w:rsid w:val="009F18FE"/>
    <w:rsid w:val="00A050E9"/>
    <w:rsid w:val="00A07FF5"/>
    <w:rsid w:val="00A219E6"/>
    <w:rsid w:val="00A21F5E"/>
    <w:rsid w:val="00A345AB"/>
    <w:rsid w:val="00A52BF9"/>
    <w:rsid w:val="00A61EF1"/>
    <w:rsid w:val="00A6276A"/>
    <w:rsid w:val="00A6662A"/>
    <w:rsid w:val="00A7152E"/>
    <w:rsid w:val="00A8694A"/>
    <w:rsid w:val="00AA30AF"/>
    <w:rsid w:val="00AC7415"/>
    <w:rsid w:val="00AD2DAD"/>
    <w:rsid w:val="00AE6054"/>
    <w:rsid w:val="00AF3074"/>
    <w:rsid w:val="00B20E2F"/>
    <w:rsid w:val="00B5051E"/>
    <w:rsid w:val="00B519E7"/>
    <w:rsid w:val="00B71BA3"/>
    <w:rsid w:val="00B71BE3"/>
    <w:rsid w:val="00B91E22"/>
    <w:rsid w:val="00B9511C"/>
    <w:rsid w:val="00BB1170"/>
    <w:rsid w:val="00BB4424"/>
    <w:rsid w:val="00BC1DB2"/>
    <w:rsid w:val="00BC6DE2"/>
    <w:rsid w:val="00BD2F00"/>
    <w:rsid w:val="00BF0206"/>
    <w:rsid w:val="00BF4B53"/>
    <w:rsid w:val="00C1386B"/>
    <w:rsid w:val="00C16EA2"/>
    <w:rsid w:val="00C27139"/>
    <w:rsid w:val="00C3184C"/>
    <w:rsid w:val="00C3659C"/>
    <w:rsid w:val="00C43E4F"/>
    <w:rsid w:val="00C44463"/>
    <w:rsid w:val="00CB27FE"/>
    <w:rsid w:val="00CB4225"/>
    <w:rsid w:val="00CB42F5"/>
    <w:rsid w:val="00CB53B2"/>
    <w:rsid w:val="00CB6367"/>
    <w:rsid w:val="00CD294D"/>
    <w:rsid w:val="00CD4803"/>
    <w:rsid w:val="00CD60BF"/>
    <w:rsid w:val="00CE0A0B"/>
    <w:rsid w:val="00CE20F5"/>
    <w:rsid w:val="00CF7CC2"/>
    <w:rsid w:val="00D01339"/>
    <w:rsid w:val="00D01443"/>
    <w:rsid w:val="00D268AF"/>
    <w:rsid w:val="00D33918"/>
    <w:rsid w:val="00D40AB1"/>
    <w:rsid w:val="00D42336"/>
    <w:rsid w:val="00D47107"/>
    <w:rsid w:val="00D520DC"/>
    <w:rsid w:val="00D53A94"/>
    <w:rsid w:val="00D8199C"/>
    <w:rsid w:val="00DA3655"/>
    <w:rsid w:val="00DB3FBC"/>
    <w:rsid w:val="00DB53C5"/>
    <w:rsid w:val="00DC3F6D"/>
    <w:rsid w:val="00DC6554"/>
    <w:rsid w:val="00DE29C1"/>
    <w:rsid w:val="00DE4541"/>
    <w:rsid w:val="00DF7913"/>
    <w:rsid w:val="00E04CBA"/>
    <w:rsid w:val="00E07B7E"/>
    <w:rsid w:val="00E33478"/>
    <w:rsid w:val="00E40D91"/>
    <w:rsid w:val="00E41F5E"/>
    <w:rsid w:val="00E52823"/>
    <w:rsid w:val="00E52940"/>
    <w:rsid w:val="00E77690"/>
    <w:rsid w:val="00E90359"/>
    <w:rsid w:val="00EB0DE3"/>
    <w:rsid w:val="00EB6828"/>
    <w:rsid w:val="00EB6CB9"/>
    <w:rsid w:val="00EC0A64"/>
    <w:rsid w:val="00EE75B2"/>
    <w:rsid w:val="00EF262A"/>
    <w:rsid w:val="00EF7A16"/>
    <w:rsid w:val="00EF7BF9"/>
    <w:rsid w:val="00F05F63"/>
    <w:rsid w:val="00F1271A"/>
    <w:rsid w:val="00F15B5E"/>
    <w:rsid w:val="00F17290"/>
    <w:rsid w:val="00F339A6"/>
    <w:rsid w:val="00F3456B"/>
    <w:rsid w:val="00F45453"/>
    <w:rsid w:val="00F715C2"/>
    <w:rsid w:val="00F7304B"/>
    <w:rsid w:val="00F770D6"/>
    <w:rsid w:val="00FE2E22"/>
    <w:rsid w:val="00FE78AE"/>
    <w:rsid w:val="00FF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D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059"/>
    <w:rPr>
      <w:rFonts w:ascii="Cambria" w:hAnsi="Cambria"/>
      <w:szCs w:val="24"/>
    </w:rPr>
  </w:style>
  <w:style w:type="paragraph" w:styleId="Heading1">
    <w:name w:val="heading 1"/>
    <w:basedOn w:val="Normal"/>
    <w:next w:val="Normal"/>
    <w:link w:val="Heading1Char"/>
    <w:qFormat/>
    <w:rsid w:val="00136B8F"/>
    <w:pPr>
      <w:keepNext/>
      <w:spacing w:before="240" w:after="60"/>
      <w:outlineLvl w:val="0"/>
    </w:pPr>
    <w:rPr>
      <w:b/>
      <w:bCs/>
      <w:kern w:val="32"/>
      <w:sz w:val="32"/>
      <w:szCs w:val="32"/>
      <w:lang w:val="x-none" w:eastAsia="x-none"/>
    </w:rPr>
  </w:style>
  <w:style w:type="paragraph" w:styleId="Heading2">
    <w:name w:val="heading 2"/>
    <w:basedOn w:val="Normal"/>
    <w:next w:val="Normal"/>
    <w:link w:val="Heading2Char"/>
    <w:semiHidden/>
    <w:unhideWhenUsed/>
    <w:qFormat/>
    <w:rsid w:val="00136B8F"/>
    <w:pPr>
      <w:keepNext/>
      <w:spacing w:before="240" w:after="60"/>
      <w:outlineLvl w:val="1"/>
    </w:pPr>
    <w:rPr>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4E2A"/>
    <w:pPr>
      <w:tabs>
        <w:tab w:val="center" w:pos="4513"/>
        <w:tab w:val="right" w:pos="9026"/>
      </w:tabs>
    </w:pPr>
    <w:rPr>
      <w:rFonts w:cs="Cambria"/>
      <w:color w:val="000000"/>
      <w:u w:color="000000"/>
      <w:lang w:eastAsia="es-ES"/>
    </w:rPr>
  </w:style>
  <w:style w:type="character" w:customStyle="1" w:styleId="FooterChar">
    <w:name w:val="Footer Char"/>
    <w:link w:val="Footer"/>
    <w:locked/>
    <w:rsid w:val="00324E2A"/>
    <w:rPr>
      <w:rFonts w:ascii="Cambria" w:hAnsi="Cambria" w:cs="Cambria"/>
      <w:color w:val="000000"/>
      <w:sz w:val="24"/>
      <w:szCs w:val="24"/>
      <w:u w:color="000000"/>
      <w:lang w:val="en-US" w:eastAsia="es-ES" w:bidi="ar-SA"/>
    </w:rPr>
  </w:style>
  <w:style w:type="paragraph" w:styleId="Header">
    <w:name w:val="header"/>
    <w:aliases w:val="encabezado"/>
    <w:basedOn w:val="Normal"/>
    <w:link w:val="HeaderChar"/>
    <w:rsid w:val="00324E2A"/>
    <w:pPr>
      <w:widowControl w:val="0"/>
      <w:tabs>
        <w:tab w:val="center" w:pos="4320"/>
        <w:tab w:val="right" w:pos="8640"/>
      </w:tabs>
      <w:snapToGrid w:val="0"/>
    </w:pPr>
    <w:rPr>
      <w:rFonts w:ascii="Univers" w:eastAsia="Arial Unicode MS" w:hAnsi="Univers" w:cs="Univers"/>
    </w:rPr>
  </w:style>
  <w:style w:type="character" w:customStyle="1" w:styleId="HeaderChar">
    <w:name w:val="Header Char"/>
    <w:aliases w:val="encabezado Char"/>
    <w:link w:val="Header"/>
    <w:locked/>
    <w:rsid w:val="00324E2A"/>
    <w:rPr>
      <w:rFonts w:ascii="Univers" w:eastAsia="Arial Unicode MS" w:hAnsi="Univers" w:cs="Univers"/>
      <w:sz w:val="24"/>
      <w:szCs w:val="24"/>
      <w:lang w:val="en-US" w:eastAsia="en-US" w:bidi="ar-SA"/>
    </w:rPr>
  </w:style>
  <w:style w:type="character" w:styleId="PageNumber">
    <w:name w:val="page number"/>
    <w:rsid w:val="00324E2A"/>
    <w:rPr>
      <w:rFonts w:cs="Times New Roman"/>
    </w:rPr>
  </w:style>
  <w:style w:type="paragraph" w:customStyle="1" w:styleId="ecxmsonormal">
    <w:name w:val="ecxmsonormal"/>
    <w:basedOn w:val="Normal"/>
    <w:rsid w:val="00324E2A"/>
    <w:rPr>
      <w:lang w:val="es-ES" w:eastAsia="es-ES"/>
    </w:rPr>
  </w:style>
  <w:style w:type="paragraph" w:styleId="NormalWeb">
    <w:name w:val="Normal (Web)"/>
    <w:basedOn w:val="Normal"/>
    <w:uiPriority w:val="99"/>
    <w:rsid w:val="00324E2A"/>
    <w:pPr>
      <w:spacing w:before="100" w:beforeAutospacing="1" w:after="100" w:afterAutospacing="1"/>
    </w:pPr>
    <w:rPr>
      <w:lang w:val="es-ES" w:eastAsia="es-ES"/>
    </w:rPr>
  </w:style>
  <w:style w:type="paragraph" w:styleId="DocumentMap">
    <w:name w:val="Document Map"/>
    <w:basedOn w:val="Normal"/>
    <w:semiHidden/>
    <w:rsid w:val="00441E6E"/>
    <w:pPr>
      <w:shd w:val="clear" w:color="auto" w:fill="000080"/>
    </w:pPr>
    <w:rPr>
      <w:rFonts w:ascii="Tahoma" w:hAnsi="Tahoma" w:cs="Tahoma"/>
      <w:szCs w:val="20"/>
    </w:rPr>
  </w:style>
  <w:style w:type="paragraph" w:styleId="ListParagraph">
    <w:name w:val="List Paragraph"/>
    <w:aliases w:val="Párrafo de lista1,List Paragraph1,Colorful List - Accent 11,List Paragraph11,List Paragraph2"/>
    <w:basedOn w:val="Normal"/>
    <w:link w:val="ListParagraphChar"/>
    <w:qFormat/>
    <w:rsid w:val="003740B8"/>
    <w:pPr>
      <w:ind w:left="720"/>
    </w:pPr>
  </w:style>
  <w:style w:type="paragraph" w:styleId="BalloonText">
    <w:name w:val="Balloon Text"/>
    <w:basedOn w:val="Normal"/>
    <w:link w:val="BalloonTextChar"/>
    <w:rsid w:val="004124BA"/>
    <w:rPr>
      <w:rFonts w:ascii="Tahoma" w:hAnsi="Tahoma"/>
      <w:sz w:val="16"/>
      <w:szCs w:val="16"/>
      <w:lang w:val="x-none" w:eastAsia="x-none"/>
    </w:rPr>
  </w:style>
  <w:style w:type="character" w:customStyle="1" w:styleId="BalloonTextChar">
    <w:name w:val="Balloon Text Char"/>
    <w:link w:val="BalloonText"/>
    <w:rsid w:val="004124BA"/>
    <w:rPr>
      <w:rFonts w:ascii="Tahoma" w:hAnsi="Tahoma" w:cs="Tahoma"/>
      <w:sz w:val="16"/>
      <w:szCs w:val="16"/>
    </w:rPr>
  </w:style>
  <w:style w:type="paragraph" w:styleId="TOC1">
    <w:name w:val="toc 1"/>
    <w:basedOn w:val="Normal"/>
    <w:next w:val="Normal"/>
    <w:autoRedefine/>
    <w:uiPriority w:val="39"/>
    <w:rsid w:val="00136B8F"/>
  </w:style>
  <w:style w:type="character" w:styleId="Hyperlink">
    <w:name w:val="Hyperlink"/>
    <w:uiPriority w:val="99"/>
    <w:unhideWhenUsed/>
    <w:rsid w:val="00136B8F"/>
    <w:rPr>
      <w:color w:val="0000FF"/>
      <w:u w:val="single"/>
    </w:rPr>
  </w:style>
  <w:style w:type="character" w:customStyle="1" w:styleId="Heading1Char">
    <w:name w:val="Heading 1 Char"/>
    <w:link w:val="Heading1"/>
    <w:rsid w:val="00136B8F"/>
    <w:rPr>
      <w:rFonts w:ascii="Cambria" w:eastAsia="Times New Roman" w:hAnsi="Cambria" w:cs="Times New Roman"/>
      <w:b/>
      <w:bCs/>
      <w:kern w:val="32"/>
      <w:sz w:val="32"/>
      <w:szCs w:val="32"/>
    </w:rPr>
  </w:style>
  <w:style w:type="paragraph" w:customStyle="1" w:styleId="StyleHeading1LatinCambria10ptBlackLeft05">
    <w:name w:val="Style Heading 1 + (Latin) Cambria 10 pt Black Left:  0.5&quot;"/>
    <w:basedOn w:val="Heading2"/>
    <w:rsid w:val="00136B8F"/>
    <w:pPr>
      <w:ind w:left="720"/>
    </w:pPr>
    <w:rPr>
      <w:color w:val="000000"/>
      <w:sz w:val="20"/>
      <w:szCs w:val="20"/>
    </w:rPr>
  </w:style>
  <w:style w:type="paragraph" w:customStyle="1" w:styleId="StyleCambria10ptBoldBlackTopNoborderBottomNobo">
    <w:name w:val="Style Cambria 10 pt Bold Black Top: (No border) Bottom: (No bo..."/>
    <w:basedOn w:val="Heading2"/>
    <w:rsid w:val="004E5DAC"/>
    <w:rPr>
      <w:b w:val="0"/>
      <w:bCs w:val="0"/>
      <w:color w:val="000000"/>
      <w:sz w:val="20"/>
      <w:szCs w:val="20"/>
    </w:rPr>
  </w:style>
  <w:style w:type="character" w:customStyle="1" w:styleId="Heading2Char">
    <w:name w:val="Heading 2 Char"/>
    <w:link w:val="Heading2"/>
    <w:semiHidden/>
    <w:rsid w:val="00136B8F"/>
    <w:rPr>
      <w:rFonts w:ascii="Cambria" w:eastAsia="Times New Roman" w:hAnsi="Cambria" w:cs="Times New Roman"/>
      <w:b/>
      <w:bCs/>
      <w:i/>
      <w:iCs/>
      <w:sz w:val="28"/>
      <w:szCs w:val="28"/>
    </w:rPr>
  </w:style>
  <w:style w:type="paragraph" w:styleId="TOC2">
    <w:name w:val="toc 2"/>
    <w:basedOn w:val="Normal"/>
    <w:next w:val="Normal"/>
    <w:autoRedefine/>
    <w:uiPriority w:val="39"/>
    <w:rsid w:val="002C1ADB"/>
    <w:pPr>
      <w:ind w:left="240"/>
    </w:p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f,Texto nota pie Car"/>
    <w:basedOn w:val="Normal"/>
    <w:link w:val="FootnoteTextChar"/>
    <w:uiPriority w:val="99"/>
    <w:qFormat/>
    <w:rsid w:val="00072CD3"/>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ink w:val="FootnoteText"/>
    <w:qFormat/>
    <w:rsid w:val="00072CD3"/>
  </w:style>
  <w:style w:type="character" w:styleId="FootnoteReference">
    <w:name w:val="footnote reference"/>
    <w:aliases w:val="Footnotes refss,Ref. de nota al pie.,Texto de nota al pie,Appel note de bas de page,referencia nota al pie,BVI fnr,Footnote number,Footnote symbol,Footnote,4_G,16 Point,Superscript 6 Point,Texto nota al pie,f1,Footnote Reference Cha"/>
    <w:link w:val="FootnotesrefssChar1Char"/>
    <w:uiPriority w:val="99"/>
    <w:qFormat/>
    <w:rsid w:val="00072CD3"/>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843804"/>
    <w:pPr>
      <w:spacing w:after="160" w:line="240" w:lineRule="exact"/>
    </w:pPr>
    <w:rPr>
      <w:rFonts w:ascii="Times New Roman" w:hAnsi="Times New Roman"/>
      <w:szCs w:val="20"/>
      <w:vertAlign w:val="superscript"/>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843804"/>
    <w:rPr>
      <w:rFonts w:ascii="Cambria" w:hAnsi="Cambria"/>
      <w:szCs w:val="24"/>
    </w:rPr>
  </w:style>
  <w:style w:type="character" w:styleId="Strong">
    <w:name w:val="Strong"/>
    <w:basedOn w:val="DefaultParagraphFont"/>
    <w:uiPriority w:val="22"/>
    <w:qFormat/>
    <w:rsid w:val="00843804"/>
    <w:rPr>
      <w:rFonts w:cs="Times New Roman"/>
      <w:b/>
      <w:bCs/>
    </w:rPr>
  </w:style>
  <w:style w:type="character" w:styleId="CommentReference">
    <w:name w:val="annotation reference"/>
    <w:basedOn w:val="DefaultParagraphFont"/>
    <w:semiHidden/>
    <w:unhideWhenUsed/>
    <w:rsid w:val="00093237"/>
    <w:rPr>
      <w:sz w:val="16"/>
      <w:szCs w:val="16"/>
    </w:rPr>
  </w:style>
  <w:style w:type="paragraph" w:styleId="CommentText">
    <w:name w:val="annotation text"/>
    <w:basedOn w:val="Normal"/>
    <w:link w:val="CommentTextChar"/>
    <w:semiHidden/>
    <w:unhideWhenUsed/>
    <w:rsid w:val="00093237"/>
    <w:rPr>
      <w:szCs w:val="20"/>
    </w:rPr>
  </w:style>
  <w:style w:type="character" w:customStyle="1" w:styleId="CommentTextChar">
    <w:name w:val="Comment Text Char"/>
    <w:basedOn w:val="DefaultParagraphFont"/>
    <w:link w:val="CommentText"/>
    <w:semiHidden/>
    <w:rsid w:val="00093237"/>
    <w:rPr>
      <w:rFonts w:ascii="Cambria" w:hAnsi="Cambria"/>
    </w:rPr>
  </w:style>
  <w:style w:type="paragraph" w:styleId="CommentSubject">
    <w:name w:val="annotation subject"/>
    <w:basedOn w:val="CommentText"/>
    <w:next w:val="CommentText"/>
    <w:link w:val="CommentSubjectChar"/>
    <w:semiHidden/>
    <w:unhideWhenUsed/>
    <w:rsid w:val="00093237"/>
    <w:rPr>
      <w:b/>
      <w:bCs/>
    </w:rPr>
  </w:style>
  <w:style w:type="character" w:customStyle="1" w:styleId="CommentSubjectChar">
    <w:name w:val="Comment Subject Char"/>
    <w:basedOn w:val="CommentTextChar"/>
    <w:link w:val="CommentSubject"/>
    <w:semiHidden/>
    <w:rsid w:val="00093237"/>
    <w:rPr>
      <w:rFonts w:ascii="Cambria" w:hAnsi="Cambria"/>
      <w:b/>
      <w:bCs/>
    </w:rPr>
  </w:style>
  <w:style w:type="character" w:styleId="UnresolvedMention">
    <w:name w:val="Unresolved Mention"/>
    <w:basedOn w:val="DefaultParagraphFont"/>
    <w:uiPriority w:val="99"/>
    <w:semiHidden/>
    <w:unhideWhenUsed/>
    <w:rsid w:val="009D70ED"/>
    <w:rPr>
      <w:color w:val="605E5C"/>
      <w:shd w:val="clear" w:color="auto" w:fill="E1DFDD"/>
    </w:rPr>
  </w:style>
  <w:style w:type="paragraph" w:styleId="Revision">
    <w:name w:val="Revision"/>
    <w:hidden/>
    <w:uiPriority w:val="99"/>
    <w:semiHidden/>
    <w:rsid w:val="00734CB5"/>
    <w:rPr>
      <w:rFonts w:ascii="Cambria" w:hAnsi="Cambria"/>
      <w:szCs w:val="24"/>
    </w:rPr>
  </w:style>
  <w:style w:type="numbering" w:customStyle="1" w:styleId="List1">
    <w:name w:val="List 1"/>
    <w:basedOn w:val="NoList"/>
    <w:rsid w:val="0060415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30294">
      <w:bodyDiv w:val="1"/>
      <w:marLeft w:val="0"/>
      <w:marRight w:val="0"/>
      <w:marTop w:val="0"/>
      <w:marBottom w:val="0"/>
      <w:divBdr>
        <w:top w:val="none" w:sz="0" w:space="0" w:color="auto"/>
        <w:left w:val="none" w:sz="0" w:space="0" w:color="auto"/>
        <w:bottom w:val="none" w:sz="0" w:space="0" w:color="auto"/>
        <w:right w:val="none" w:sz="0" w:space="0" w:color="auto"/>
      </w:divBdr>
    </w:div>
    <w:div w:id="1408920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oas.org/es/cidh/decisiones/corte/2018/12709Fondo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oas.org/es/cidh/decisiones/corte/2018/12709FondoEs.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89700-2E89-4A03-B54B-D6B4D7918DAC}">
  <ds:schemaRefs>
    <ds:schemaRef ds:uri="http://schemas.microsoft.com/sharepoint/v3/contenttype/forms"/>
  </ds:schemaRefs>
</ds:datastoreItem>
</file>

<file path=customXml/itemProps2.xml><?xml version="1.0" encoding="utf-8"?>
<ds:datastoreItem xmlns:ds="http://schemas.openxmlformats.org/officeDocument/2006/customXml" ds:itemID="{CA8B2A53-DC5E-4345-A3FC-63907E240BE8}">
  <ds:schemaRefs>
    <ds:schemaRef ds:uri="http://purl.org/dc/terms/"/>
    <ds:schemaRef ds:uri="http://purl.org/dc/dcmitype/"/>
    <ds:schemaRef ds:uri="http://schemas.microsoft.com/office/2006/metadata/properties"/>
    <ds:schemaRef ds:uri="730f74aa-8393-4aa5-b2f8-3c7aae566a68"/>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7ff2a89a-f9c3-4229-b04b-1f4abb2786a1"/>
    <ds:schemaRef ds:uri="http://purl.org/dc/elements/1.1/"/>
  </ds:schemaRefs>
</ds:datastoreItem>
</file>

<file path=customXml/itemProps3.xml><?xml version="1.0" encoding="utf-8"?>
<ds:datastoreItem xmlns:ds="http://schemas.openxmlformats.org/officeDocument/2006/customXml" ds:itemID="{D473E4F1-0E6C-4F1E-BA27-BFF1BB9DB697}">
  <ds:schemaRefs>
    <ds:schemaRef ds:uri="http://schemas.openxmlformats.org/officeDocument/2006/bibliography"/>
  </ds:schemaRefs>
</ds:datastoreItem>
</file>

<file path=customXml/itemProps4.xml><?xml version="1.0" encoding="utf-8"?>
<ds:datastoreItem xmlns:ds="http://schemas.openxmlformats.org/officeDocument/2006/customXml" ds:itemID="{B0AFB270-192F-438E-9738-C719771B5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2022-09-28T16:39:00Z</dcterms:created>
  <dcterms:modified xsi:type="dcterms:W3CDTF">2022-09-28T16:39:00Z</dcterms:modified>
</cp:coreProperties>
</file>